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ECONOMICS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WHY YOUR INTERNET ONLY HAS ONE PROVIDER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18"/>
                <w:szCs w:val="18"/>
                <w:shd w:fill="E8735A" w:val="clear"/>
              </w:rPr>
              <w:t xml:space="preserve"> ANSWER KEY </w:t>
            </w:r>
            <w:r>
              <w:t xml:space="preserve">  </w:t>
            </w: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QUIZ - ANSWER KEY  (12 QUESTIONS)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Teacher Reference Only - do not distribute. Correct answers are marked in teal with a checkmark; the consolidated answer list appears at the end of this document.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Roughly what percent of U.S. households have only ONE wired broadband provider at 100 Mbps in their address (a local monopoly)?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 percent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15 percent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30 percent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60 percent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 NATURAL MONOPOLY is best defined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monopoly created by a natural disaster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 market where ONE provider can serve all demand at LOWER cost than two or more competing providers because the fixed cost is so high duplication wastes resources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monopoly that the government has not yet noticed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Any monopoly that occurs without explicit antitrust violations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3.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the local broadband market, the CENTRAL barrier to entry that keeps new providers from competing is: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Sunk cost: $1,200-$2,500 per home for cable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Lack of skilled workers willing to lay cable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FCC restrictions on internet content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Foreign competition that drives down domestic prices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4.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According to the chart in the lesson, the average monthly broadband price in a LOCAL MONOPOLY market (one wired provider) is approximately: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$30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$55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$68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$85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5.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MUNICIPAL BROADBAND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Broadband service provided over municipal Wi-Fi networks in public parks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Local government builds broadband as public utility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Broadband service offered to municipal employees only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Federal broadband subsidies distributed to municipalities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6.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In Chattanooga TN, after the city-owned EPB Fiber network launched in September 2010, the average monthly broadband price changed FROM about $89 (2009, pre-launch) TO about: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$58 ✓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$95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$82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$25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7.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Roughly how many U.S. states have laws that RESTRICT OR PROHIBIT local governments from building their own broadband networks?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Zero - municipal broadband is legal everywhere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5 states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19 states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All 50 states ban it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8.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OVERBUILDING in the local broadband market means: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ISP building more capacity than needed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New provider laying duplicate network ✓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Adding too many cell towers in one area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Constructing physical buildings owned by the FCC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9.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FCC Form 477 is best described as: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An application form for new broadband ISPs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tax form filed by FCC-licensed broadcasters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 consumer broadband complaint form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Federal Communications Commission's primary BROADBAND DEPLOYMENT DATASET - all U.S. ISPs report which census blocks they serve twice a year ✓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10.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TITLE II CLASSIFICATION of broadband under the 1934 Communications Act would do which of the following?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Classify broadband as a 'common carrier' utility service subject to FCC price and conduct regulation - the legal foundation for federal price regulation of ISP monopolies ✓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Require broadband content to be reviewed before publication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Tax broadband subscribers an additional fee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Limit broadband speeds to 25 Mbps</w:t>
            </w:r>
          </w:p>
        </w:tc>
      </w:tr>
    </w:tbl>
    <w:p>
      <w:pPr>
        <w:spacing w:after="16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11.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Roughly how much MORE per year does a household in a local broadband MONOPOLY market pay compared to a household in a COMPETITIVE market (3+ providers)?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$0</w:t>
            </w:r>
          </w:p>
        </w:tc>
        <w:tc>
          <w:tcPr>
            <w:tcW w:type="dxa" w:w="468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$50 per year</w:t>
            </w:r>
          </w:p>
        </w:tc>
      </w:tr>
      <w:tr>
        <w:trPr>
          <w:cantSplit/>
          <w:trHeight w:val="60" w:hRule="exact"/>
        </w:trPr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  <w:tc>
          <w:tcPr>
            <w:tcW w:type="dxa" w:w="468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About $360 per year ✓</w:t>
            </w:r>
          </w:p>
        </w:tc>
        <w:tc>
          <w:tcPr>
            <w:tcW w:type="dxa" w:w="468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About $5,000 yearly</w:t>
            </w:r>
          </w:p>
        </w:tc>
      </w:tr>
    </w:tbl>
    <w:p>
      <w:pPr>
        <w:pageBreakBefore/>
        <w:spacing w:after="0" w:before="0" w:line="24" w:lineRule="exact"/>
      </w:pPr>
      <w:r>
        <w:rPr>
          <w:sz w:val="2"/>
          <w:szCs w:val="2"/>
        </w:rP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0"/>
        <w:gridCol w:w="8880"/>
      </w:tblGrid>
      <w:tr>
        <w:trPr>
          <w:cantSplit/>
        </w:trPr>
        <w:tc>
          <w:tcPr>
            <w:tcW w:type="dxa" w:w="480"/>
            <w:tcBorders>
              <w:top w:val="none"/>
              <w:left w:val="none"/>
              <w:bottom w:val="none"/>
              <w:right w:val="none"/>
            </w:tcBorders>
            <w:shd w:fill="145F58" w:val="clear"/>
            <w:tcMar>
              <w:top w:type="dxa" w:w="40"/>
              <w:left w:type="dxa" w:w="0"/>
              <w:bottom w:type="dxa" w:w="40"/>
              <w:right w:type="dxa" w:w="0"/>
            </w:tcMar>
            <w:vAlign w:val="center"/>
          </w:tcPr>
          <w:p>
            <w:pPr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z w:val="22"/>
                <w:szCs w:val="22"/>
              </w:rPr>
              <w:t xml:space="preserve">12.</w:t>
            </w:r>
          </w:p>
        </w:tc>
        <w:tc>
          <w:tcPr>
            <w:tcW w:type="dxa" w:w="8880"/>
            <w:tcBorders>
              <w:top w:val="none"/>
              <w:left w:val="none"/>
              <w:bottom w:val="none"/>
              <w:right w:val="none"/>
            </w:tcBorders>
            <w:tcMar>
              <w:top w:type="dxa" w:w="40"/>
              <w:left w:type="dxa" w:w="120"/>
              <w:bottom w:type="dxa" w:w="40"/>
              <w:right w:type="dxa" w:w="80"/>
            </w:tcMar>
            <w:vAlign w:val="center"/>
          </w:tcPr>
          <w:p>
            <w:pPr>
              <w:keepNext/>
              <w:keepLines/>
              <w:spacing w:after="0" w:line="288" w:lineRule="auto"/>
            </w:pPr>
            <w:r>
              <w:rPr>
                <w:rFonts w:ascii="Arial" w:cs="Arial" w:eastAsia="Arial" w:hAnsi="Arial"/>
                <w:b/>
                <w:bCs/>
                <w:color w:val="1B2A4A"/>
                <w:sz w:val="22"/>
                <w:szCs w:val="22"/>
              </w:rPr>
              <w:t xml:space="preserve">Which of these is the SINGLE most important reason wired broadband is the textbook case of a LOCAL NATURAL MONOPOLY in U.S. economics?</w:t>
            </w:r>
          </w:p>
        </w:tc>
      </w:tr>
    </w:tbl>
    <w:p>
      <w:pPr>
        <w:keepNext/>
        <w:spacing w:after="4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A.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Broadband companies pay high taxes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2A9D8F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B.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Broadband requires special government licenses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C. </w:t>
            </w:r>
            <w:r>
              <w:rPr>
                <w:rFonts w:ascii="Arial" w:cs="Arial" w:eastAsia="Arial" w:hAnsi="Arial"/>
                <w:b w:val="false"/>
                <w:bCs w:val="false"/>
                <w:color w:val="1B2A4A"/>
                <w:sz w:val="22"/>
                <w:szCs w:val="22"/>
              </w:rPr>
              <w:t xml:space="preserve">Broadband companies have many employees</w:t>
            </w:r>
          </w:p>
        </w:tc>
      </w:tr>
      <w:tr>
        <w:trPr>
          <w:cantSplit/>
          <w:trHeight w:val="60" w:hRule="exact"/>
        </w:trP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0" w:before="0"/>
            </w:pPr>
          </w:p>
        </w:tc>
      </w:tr>
      <w:tr>
        <w:trPr>
          <w:cantSplit/>
          <w:trHeight w:val="300" w:hRule="atLeast"/>
        </w:trPr>
        <w:tc>
          <w:tcPr>
            <w:tcW w:type="dxa" w:w="9360"/>
            <w:tcBorders>
              <w:top w:val="none"/>
              <w:left w:val="single" w:color="E8735A" w:sz="6"/>
              <w:bottom w:val="none"/>
              <w:right w:val="none"/>
            </w:tcBorders>
            <w:shd w:fill="E8F5F3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r>
              <w:rPr>
                <w:rFonts w:ascii="Trebuchet MS" w:cs="Trebuchet MS" w:eastAsia="Trebuchet MS" w:hAnsi="Trebuchet MS"/>
                <w:b/>
                <w:bCs/>
                <w:color w:val="1B2A4A"/>
                <w:sz w:val="22"/>
                <w:szCs w:val="22"/>
              </w:rPr>
              <w:t xml:space="preserve">D. </w:t>
            </w:r>
            <w:r>
              <w:rPr>
                <w:rFonts w:ascii="Arial" w:cs="Arial" w:eastAsia="Arial" w:hAnsi="Arial"/>
                <w:b/>
                <w:bCs/>
                <w:i/>
                <w:iCs/>
                <w:color w:val="145F58"/>
                <w:sz w:val="22"/>
                <w:szCs w:val="22"/>
              </w:rPr>
              <w:t xml:space="preserve">The SUNK INFRASTRUCTURE COST of laying fiber or cable to every home is so high that duplicating the network rarely pays off - so one provider serves a local market at lower cost than two competing providers ✓</w:t>
            </w:r>
          </w:p>
        </w:tc>
      </w:tr>
    </w:tbl>
    <w:p>
      <w:pPr>
        <w:spacing w:after="160"/>
      </w:pPr>
    </w:p>
    <w:p>
      <w:pPr>
        <w:spacing w:after="60" w:before="120"/>
      </w:pPr>
      <w:r>
        <w:rPr>
          <w:rFonts w:ascii="Trebuchet MS" w:cs="Trebuchet MS" w:eastAsia="Trebuchet MS" w:hAnsi="Trebuchet MS"/>
          <w:b/>
          <w:bCs/>
          <w:color w:val="1B2A4A"/>
          <w:sz w:val="18"/>
          <w:szCs w:val="18"/>
        </w:rPr>
        <w:t xml:space="preserve">ANSWERS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640"/>
        <w:gridCol w:w="8720"/>
      </w:tblGrid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3.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4.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5.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6.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7.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8.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B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9.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10.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A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11.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C</w:t>
            </w:r>
          </w:p>
        </w:tc>
      </w:tr>
      <w:tr>
        <w:trPr>
          <w:cantSplit/>
        </w:trPr>
        <w:tc>
          <w:tcPr>
            <w:tcW w:type="dxa" w:w="64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color w:val="1B2A4A"/>
                <w:sz w:val="18"/>
                <w:szCs w:val="18"/>
              </w:rPr>
              <w:t xml:space="preserve">12.</w:t>
            </w:r>
          </w:p>
        </w:tc>
        <w:tc>
          <w:tcPr>
            <w:tcW w:type="dxa" w:w="8720"/>
            <w:tcBorders>
              <w:top w:val="none"/>
              <w:left w:val="none"/>
              <w:bottom w:val="none"/>
              <w:right w:val="none"/>
            </w:tcBorders>
          </w:tcPr>
          <w:p>
            <w:r>
              <w:rPr>
                <w:rFonts w:ascii="Arial" w:cs="Arial" w:eastAsia="Arial" w:hAnsi="Arial"/>
                <w:b/>
                <w:bCs/>
                <w:color w:val="145F58"/>
                <w:sz w:val="18"/>
                <w:szCs w:val="18"/>
              </w:rPr>
              <w:t xml:space="preserve">D</w:t>
            </w:r>
          </w:p>
        </w:tc>
      </w:tr>
    </w:tbl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  <w:r>
      <w:rPr>
        <w:rFonts w:ascii="Trebuchet MS" w:cs="Trebuchet MS" w:eastAsia="Trebuchet MS" w:hAnsi="Trebuchet MS"/>
        <w:b/>
        <w:bCs/>
        <w:color w:val="B84D38"/>
        <w:sz w:val="18"/>
        <w:szCs w:val="18"/>
      </w:rPr>
      <w:t xml:space="preserve"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2026-07-28T23:16:45.514Z</dcterms:created>
  <dcterms:modified xsi:type="dcterms:W3CDTF">2026-07-28T23:16:45.514Z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