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keepNext w:val="false"/>
        <w:keepLines w:val="false"/>
        <w:shd w:fill="1B2A4A" w:val="clear"/>
        <w:spacing w:after="0" w:before="0" w:line="288" w:lineRule="auto"/>
        <w:ind w:left="80" w:right="80"/>
      </w:pPr>
      <w:r>
        <w:rPr>
          <w:rFonts w:ascii="Trebuchet MS" w:cs="Trebuchet MS" w:eastAsia="Trebuchet MS" w:hAnsi="Trebuchet MS"/>
          <w:b/>
          <w:bCs/>
          <w:color w:val="FFFFFF"/>
          <w:sz w:val="34"/>
          <w:szCs w:val="34"/>
        </w:rPr>
        <w:t xml:space="preserve">Why Your Internet Only Has One Provider</w:t>
      </w:r>
      <w:r>
        <w:rPr>
          <w:rFonts w:ascii="Trebuchet MS" w:cs="Trebuchet MS" w:eastAsia="Trebuchet MS" w:hAnsi="Trebuchet MS"/>
          <w:color w:val="C9D6E6"/>
          <w:spacing w:val="20"/>
          <w:sz w:val="19"/>
          <w:szCs w:val="19"/>
        </w:rPr>
        <w:br/>
        <w:t xml:space="preserve">STUDENT ACTIVITY</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744"/>
        <w:gridCol w:w="2808"/>
        <w:gridCol w:w="2808"/>
      </w:tblGrid>
      <w:tr>
        <w:trPr>
          <w:trHeight w:val="360" w:hRule="atLeast"/>
        </w:trPr>
        <w:tc>
          <w:tcPr>
            <w:tcW w:type="dxa" w:w="3744"/>
            <w:tcBorders>
              <w:top w:val="single" w:color="2A9D8F" w:sz="4"/>
              <w:left w:val="none"/>
              <w:bottom w:val="single" w:color="2A9D8F" w:sz="4"/>
              <w:right w:val="single" w:color="E8E8E8" w:sz="1"/>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Name:</w:t>
            </w:r>
            <w:r>
              <w:rPr>
                <w:rFonts w:ascii="Arial" w:cs="Arial" w:eastAsia="Arial" w:hAnsi="Arial"/>
                <w:sz w:val="20"/>
                <w:szCs w:val="20"/>
              </w:rPr>
              <w:t xml:space="preserve">  </w:t>
            </w:r>
          </w:p>
        </w:tc>
        <w:tc>
          <w:tcPr>
            <w:tcW w:type="dxa" w:w="2808"/>
            <w:tcBorders>
              <w:top w:val="single" w:color="2A9D8F" w:sz="4"/>
              <w:left w:val="single" w:color="E8E8E8" w:sz="1"/>
              <w:bottom w:val="single" w:color="2A9D8F" w:sz="4"/>
              <w:right w:val="single" w:color="E8E8E8" w:sz="1"/>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Date:</w:t>
            </w:r>
            <w:r>
              <w:rPr>
                <w:rFonts w:ascii="Arial" w:cs="Arial" w:eastAsia="Arial" w:hAnsi="Arial"/>
                <w:sz w:val="20"/>
                <w:szCs w:val="20"/>
              </w:rPr>
              <w:t xml:space="preserve">  </w:t>
            </w:r>
          </w:p>
        </w:tc>
        <w:tc>
          <w:tcPr>
            <w:tcW w:type="dxa" w:w="2808"/>
            <w:tcBorders>
              <w:top w:val="single" w:color="2A9D8F" w:sz="4"/>
              <w:left w:val="single" w:color="E8E8E8" w:sz="1"/>
              <w:bottom w:val="single" w:color="2A9D8F" w:sz="4"/>
              <w:right w:val="none"/>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Period:</w:t>
            </w:r>
            <w:r>
              <w:rPr>
                <w:rFonts w:ascii="Arial" w:cs="Arial" w:eastAsia="Arial" w:hAnsi="Arial"/>
                <w:sz w:val="20"/>
                <w:szCs w:val="20"/>
              </w:rPr>
              <w:t xml:space="preserve">  </w:t>
            </w:r>
          </w:p>
        </w:tc>
      </w:tr>
    </w:tbl>
    <w:p>
      <w:pPr>
        <w:keepNext w:val="false"/>
        <w:keepLines w:val="false"/>
        <w:pBdr>
          <w:top w:val="single" w:color="F2CFC4" w:sz="6" w:space="6"/>
          <w:bottom w:val="single" w:color="F2CFC4" w:sz="6" w:space="6"/>
          <w:left w:val="single" w:color="E8735A" w:sz="28" w:space="6"/>
          <w:right w:val="single" w:color="F2CFC4" w:sz="6" w:space="6"/>
        </w:pBdr>
        <w:shd w:fill="FFF8F6" w:val="clear"/>
        <w:spacing w:after="60" w:before="160" w:line="288" w:lineRule="auto"/>
        <w:ind w:left="120" w:right="120"/>
      </w:pPr>
      <w:r>
        <w:rPr>
          <w:rFonts w:ascii="Trebuchet MS" w:cs="Trebuchet MS" w:eastAsia="Trebuchet MS" w:hAnsi="Trebuchet MS"/>
          <w:b/>
          <w:bCs/>
          <w:color w:val="B84D38"/>
          <w:spacing w:val="15"/>
          <w:sz w:val="17"/>
          <w:szCs w:val="17"/>
        </w:rPr>
        <w:t xml:space="preserve">ESSENTIAL QUESTION</w:t>
      </w:r>
      <w:r>
        <w:rPr>
          <w:rFonts w:ascii="Arial" w:cs="Arial" w:eastAsia="Arial" w:hAnsi="Arial"/>
          <w:b/>
          <w:bCs/>
          <w:color w:val="1B2A4A"/>
          <w:sz w:val="26"/>
          <w:szCs w:val="26"/>
        </w:rPr>
        <w:br/>
        <w:t xml:space="preserve">Why does your family get only one choice for home internet, and who profits from it?</w:t>
      </w:r>
    </w:p>
    <w:p>
      <w:pPr>
        <w:keepNext/>
        <w:spacing w:after="40" w:before="160"/>
      </w:pPr>
      <w:r>
        <w:rPr>
          <w:rFonts w:ascii="Trebuchet MS" w:cs="Trebuchet MS" w:eastAsia="Trebuchet MS" w:hAnsi="Trebuchet MS"/>
          <w:b/>
          <w:bCs/>
          <w:color w:val="B84D38"/>
          <w:spacing w:val="12"/>
          <w:sz w:val="18"/>
          <w:szCs w:val="18"/>
        </w:rPr>
        <w:t xml:space="preserve">THE SCENARIO</w:t>
      </w:r>
    </w:p>
    <w:p>
      <w:pPr>
        <w:spacing w:after="120" w:line="288" w:lineRule="auto"/>
      </w:pPr>
      <w:r>
        <w:rPr>
          <w:rFonts w:ascii="Arial" w:cs="Arial" w:eastAsia="Arial" w:hAnsi="Arial"/>
          <w:color w:val="1B2A4A"/>
          <w:sz w:val="21"/>
          <w:szCs w:val="21"/>
        </w:rPr>
        <w:t xml:space="preserve">You report for a paid summer internship at the U.S. Federal Communications Commission (FCC) Wireline Competition Bureau and you are assigned to ALEX TORRES's broadband competition team. Alex's job is figuring out what the FCC should do about local broadband monopolies - the fact that roughly 30 percent of U.S. households still have only ONE wired internet provider at high speeds.</w:t>
      </w:r>
    </w:p>
    <w:p>
      <w:pPr>
        <w:keepNext/>
        <w:spacing w:after="40" w:before="160"/>
      </w:pPr>
      <w:r>
        <w:rPr>
          <w:rFonts w:ascii="Trebuchet MS" w:cs="Trebuchet MS" w:eastAsia="Trebuchet MS" w:hAnsi="Trebuchet MS"/>
          <w:b/>
          <w:bCs/>
          <w:color w:val="B84D38"/>
          <w:spacing w:val="12"/>
          <w:sz w:val="18"/>
          <w:szCs w:val="18"/>
        </w:rPr>
        <w:t xml:space="preserve">BY THE END, YOU CAN:</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Apply the four defining features of MONOPOLY from TK 22 (one seller, no close substitutes, high barriers to entry, price-maker firm) to LOCAL BROADBAND ISPs and identify why ~30 percent of U.S. households have only one wired provider</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Define NATURAL MONOPOLY, SUNK COST, and BARRIER TO ENTRY and explain why laying fiber or cable to every home is the central infrastructure cost that locks in local broadband monopolies</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Read three real charts (U.S. broadband competition distribution, price by competition level, and the Chattanooga municipal broadband case) and write a Final Recommendation Memo identifying what the FCC should do about local broadband monopolies and whether municipal broadband should be allowed in all states</w:t>
      </w:r>
    </w:p>
    <w:p>
      <w:pPr>
        <w:keepNext/>
        <w:spacing w:after="40" w:before="160"/>
      </w:pPr>
      <w:r>
        <w:rPr>
          <w:rFonts w:ascii="Trebuchet MS" w:cs="Trebuchet MS" w:eastAsia="Trebuchet MS" w:hAnsi="Trebuchet MS"/>
          <w:b/>
          <w:bCs/>
          <w:color w:val="B84D38"/>
          <w:spacing w:val="12"/>
          <w:sz w:val="18"/>
          <w:szCs w:val="18"/>
        </w:rPr>
        <w:t xml:space="preserve">HOW IT WORKS  (do Parts 1–5 in order)</w:t>
      </w:r>
    </w:p>
    <w:p>
      <w:pPr>
        <w:spacing w:after="40"/>
        <w:ind w:left="380" w:hanging="380"/>
      </w:pPr>
      <w:r>
        <w:rPr>
          <w:rFonts w:ascii="Trebuchet MS" w:cs="Trebuchet MS" w:eastAsia="Trebuchet MS" w:hAnsi="Trebuchet MS"/>
          <w:b/>
          <w:bCs/>
          <w:color w:val="145F58"/>
          <w:sz w:val="21"/>
          <w:szCs w:val="21"/>
        </w:rPr>
        <w:t xml:space="preserve">Part 1 — </w:t>
      </w:r>
      <w:r>
        <w:rPr>
          <w:rFonts w:ascii="Arial" w:cs="Arial" w:eastAsia="Arial" w:hAnsi="Arial"/>
          <w:color w:val="1B2A4A"/>
          <w:sz w:val="21"/>
          <w:szCs w:val="21"/>
        </w:rPr>
        <w:t xml:space="preserve">ISP Monopoly Reference Guide - Complete the Missing Terms</w:t>
      </w:r>
    </w:p>
    <w:p>
      <w:pPr>
        <w:spacing w:after="40"/>
        <w:ind w:left="380" w:hanging="380"/>
      </w:pPr>
      <w:r>
        <w:rPr>
          <w:rFonts w:ascii="Trebuchet MS" w:cs="Trebuchet MS" w:eastAsia="Trebuchet MS" w:hAnsi="Trebuchet MS"/>
          <w:b/>
          <w:bCs/>
          <w:color w:val="145F58"/>
          <w:sz w:val="21"/>
          <w:szCs w:val="21"/>
        </w:rPr>
        <w:t xml:space="preserve">Part 2 — </w:t>
      </w:r>
      <w:r>
        <w:rPr>
          <w:rFonts w:ascii="Arial" w:cs="Arial" w:eastAsia="Arial" w:hAnsi="Arial"/>
          <w:color w:val="1B2A4A"/>
          <w:sz w:val="21"/>
          <w:szCs w:val="21"/>
        </w:rPr>
        <w:t xml:space="preserve">Apply the Terms - Key ISP Monopoly Vocabulary in Context</w:t>
      </w:r>
    </w:p>
    <w:p>
      <w:pPr>
        <w:spacing w:after="40"/>
        <w:ind w:left="380" w:hanging="380"/>
      </w:pPr>
      <w:r>
        <w:rPr>
          <w:rFonts w:ascii="Trebuchet MS" w:cs="Trebuchet MS" w:eastAsia="Trebuchet MS" w:hAnsi="Trebuchet MS"/>
          <w:b/>
          <w:bCs/>
          <w:color w:val="145F58"/>
          <w:sz w:val="21"/>
          <w:szCs w:val="21"/>
        </w:rPr>
        <w:t xml:space="preserve">Part 3 — </w:t>
      </w:r>
      <w:r>
        <w:rPr>
          <w:rFonts w:ascii="Arial" w:cs="Arial" w:eastAsia="Arial" w:hAnsi="Arial"/>
          <w:color w:val="1B2A4A"/>
          <w:sz w:val="21"/>
          <w:szCs w:val="21"/>
        </w:rPr>
        <w:t xml:space="preserve">You Read the Three Broadband Charts with Alex Torres at the FCC</w:t>
      </w:r>
    </w:p>
    <w:p>
      <w:pPr>
        <w:spacing w:after="40"/>
        <w:ind w:left="380" w:hanging="380"/>
      </w:pPr>
      <w:r>
        <w:rPr>
          <w:rFonts w:ascii="Trebuchet MS" w:cs="Trebuchet MS" w:eastAsia="Trebuchet MS" w:hAnsi="Trebuchet MS"/>
          <w:b/>
          <w:bCs/>
          <w:color w:val="145F58"/>
          <w:sz w:val="21"/>
          <w:szCs w:val="21"/>
        </w:rPr>
        <w:t xml:space="preserve">Part 4 — </w:t>
      </w:r>
      <w:r>
        <w:rPr>
          <w:rFonts w:ascii="Arial" w:cs="Arial" w:eastAsia="Arial" w:hAnsi="Arial"/>
          <w:color w:val="1B2A4A"/>
          <w:sz w:val="21"/>
          <w:szCs w:val="21"/>
        </w:rPr>
        <w:t xml:space="preserve">Four Real Scenarios with Alex Torres - Apply the Model</w:t>
      </w:r>
    </w:p>
    <w:p>
      <w:pPr>
        <w:spacing w:after="40"/>
        <w:ind w:left="380" w:hanging="380"/>
      </w:pPr>
      <w:r>
        <w:rPr>
          <w:rFonts w:ascii="Trebuchet MS" w:cs="Trebuchet MS" w:eastAsia="Trebuchet MS" w:hAnsi="Trebuchet MS"/>
          <w:b/>
          <w:bCs/>
          <w:color w:val="145F58"/>
          <w:sz w:val="21"/>
          <w:szCs w:val="21"/>
        </w:rPr>
        <w:t xml:space="preserve">Part 5 — </w:t>
      </w:r>
      <w:r>
        <w:rPr>
          <w:rFonts w:ascii="Arial" w:cs="Arial" w:eastAsia="Arial" w:hAnsi="Arial"/>
          <w:color w:val="1B2A4A"/>
          <w:sz w:val="21"/>
          <w:szCs w:val="21"/>
        </w:rPr>
        <w:t xml:space="preserve">Your Final Recommendation Memo to Alex Torres</w:t>
      </w:r>
    </w:p>
    <w:p>
      <w:pPr>
        <w:keepNext w:val="false"/>
        <w:keepLines w:val="false"/>
        <w:shd w:fill="F2F2F2" w:val="clear"/>
        <w:spacing w:after="40" w:before="160" w:line="288" w:lineRule="auto"/>
        <w:ind w:left="120" w:right="120"/>
      </w:pPr>
      <w:r>
        <w:rPr>
          <w:rFonts w:ascii="Trebuchet MS" w:cs="Trebuchet MS" w:eastAsia="Trebuchet MS" w:hAnsi="Trebuchet MS"/>
          <w:b/>
          <w:bCs/>
          <w:color w:val="1B2A4A"/>
          <w:sz w:val="17"/>
          <w:szCs w:val="17"/>
        </w:rPr>
        <w:t xml:space="preserve">TIME  </w:t>
      </w:r>
      <w:r>
        <w:rPr>
          <w:rFonts w:ascii="Arial" w:cs="Arial" w:eastAsia="Arial" w:hAnsi="Arial"/>
          <w:color w:val="555555"/>
          <w:sz w:val="18"/>
          <w:szCs w:val="18"/>
        </w:rPr>
        <w:t xml:space="preserve">about 45 minutes        </w:t>
      </w:r>
      <w:r>
        <w:rPr>
          <w:rFonts w:ascii="Trebuchet MS" w:cs="Trebuchet MS" w:eastAsia="Trebuchet MS" w:hAnsi="Trebuchet MS"/>
          <w:b/>
          <w:bCs/>
          <w:color w:val="1B2A4A"/>
          <w:sz w:val="17"/>
          <w:szCs w:val="17"/>
        </w:rPr>
        <w:t xml:space="preserve">YOU’LL NEED  </w:t>
      </w:r>
      <w:r>
        <w:rPr>
          <w:rFonts w:ascii="Arial" w:cs="Arial" w:eastAsia="Arial" w:hAnsi="Arial"/>
          <w:color w:val="555555"/>
          <w:sz w:val="18"/>
          <w:szCs w:val="18"/>
        </w:rPr>
        <w:t xml:space="preserve">the lesson slides and your Guided Notes.</w:t>
      </w:r>
    </w:p>
    <w:p>
      <w:r>
        <w:br w:type="page"/>
      </w:r>
    </w:p>
    <w:p>
      <w:pPr>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1</w:t>
      </w:r>
    </w:p>
    <w:p>
      <w:pPr>
        <w:pStyle w:val="Heading2"/>
        <w:keepNext/>
        <w:keepLines/>
        <w:pBdr>
          <w:bottom w:val="single" w:color="1B2A4A" w:sz="6" w:space="4"/>
        </w:pBdr>
        <w:spacing w:after="40" w:before="60"/>
      </w:pPr>
      <w:r>
        <w:rPr>
          <w:rFonts w:ascii="Trebuchet MS" w:cs="Trebuchet MS" w:eastAsia="Trebuchet MS" w:hAnsi="Trebuchet MS"/>
          <w:b/>
          <w:bCs/>
          <w:color w:val="1B2A4A"/>
          <w:sz w:val="28"/>
          <w:szCs w:val="28"/>
        </w:rPr>
        <w:t xml:space="preserve">ISP Monopoly Reference Guide - Complete the Missing Terms</w:t>
      </w:r>
    </w:p>
    <w:p>
      <w:pPr>
        <w:keepNext/>
        <w:spacing w:after="100" w:before="20"/>
      </w:pPr>
      <w:r>
        <w:rPr>
          <w:rFonts w:ascii="Arial" w:cs="Arial" w:eastAsia="Arial" w:hAnsi="Arial"/>
          <w:color w:val="1B2A4A"/>
          <w:sz w:val="22"/>
          <w:szCs w:val="22"/>
        </w:rPr>
        <w:t xml:space="preserve">Fill in the missing term for each blank row — the definition is your clue. Your Guided Notes and the lesson slides have every term.</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702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Term</w:t>
            </w:r>
          </w:p>
        </w:tc>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Definition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market where one provider serves all demand at lower cost than two competitors because fixed costs make duplication wasteful</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Local monopoly</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monopoly that exists within a specific geographic area such as a city or zip code</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cost already spent that cannot be recovered such as laying cable to every home</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Barrier to entry</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Anything that prevents new firms from competing such as sunk infrastructure cost in ISPs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historical city contract granting an ISP an exclusive license to operate</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Municipal broadband</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When a local government builds and operates its own broadband network</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When a second wired ISP lays a duplicate network in an area already served (rare)</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FCC Form 477</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FCC broadband deployment dataset that all ISPs file twice a year</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1934 Communications Act class for common-carrier utilities restored for broadband in April 2024</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Common carrier</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Designation for essential infrastructure that must serve all customers at non-discriminatory FCC-regulated prices</w:t>
            </w:r>
          </w:p>
        </w:tc>
      </w:tr>
    </w:tbl>
    <w:p>
      <w:pPr>
        <w:spacing w:after="120"/>
      </w:pPr>
    </w:p>
    <w:p>
      <w:pPr>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2</w:t>
      </w:r>
    </w:p>
    <w:p>
      <w:pPr>
        <w:pStyle w:val="Heading2"/>
        <w:keepNext/>
        <w:keepLines/>
        <w:pBdr>
          <w:bottom w:val="single" w:color="1B2A4A" w:sz="6" w:space="4"/>
        </w:pBdr>
        <w:spacing w:after="40" w:before="60"/>
      </w:pPr>
      <w:r>
        <w:rPr>
          <w:rFonts w:ascii="Trebuchet MS" w:cs="Trebuchet MS" w:eastAsia="Trebuchet MS" w:hAnsi="Trebuchet MS"/>
          <w:b/>
          <w:bCs/>
          <w:color w:val="1B2A4A"/>
          <w:sz w:val="28"/>
          <w:szCs w:val="28"/>
        </w:rPr>
        <w:t xml:space="preserve">Apply the Terms - Key ISP Monopoly Vocabulary in Context</w:t>
      </w:r>
    </w:p>
    <w:p>
      <w:pPr>
        <w:keepNext/>
        <w:keepLines/>
        <w:pBdr>
          <w:top w:val="single" w:color="2A9D8F" w:sz="6" w:space="6"/>
          <w:bottom w:val="single" w:color="2A9D8F" w:sz="6" w:space="6"/>
          <w:left w:val="single" w:color="2A9D8F" w:sz="6" w:space="6"/>
          <w:right w:val="single" w:color="2A9D8F" w:sz="6" w:space="6"/>
        </w:pBdr>
        <w:shd w:fill="F0FAF8" w:val="clear"/>
        <w:spacing w:after="120" w:before="40" w:line="288" w:lineRule="auto"/>
        <w:ind w:left="120" w:right="120"/>
        <w:jc w:val="center"/>
      </w:pPr>
      <w:r>
        <w:rPr>
          <w:rFonts w:ascii="Trebuchet MS" w:cs="Trebuchet MS" w:eastAsia="Trebuchet MS" w:hAnsi="Trebuchet MS"/>
          <w:b/>
          <w:bCs/>
          <w:color w:val="145F58"/>
          <w:sz w:val="18"/>
          <w:szCs w:val="18"/>
        </w:rPr>
        <w:t xml:space="preserve">WORD BANK   </w:t>
      </w:r>
      <w:r>
        <w:rPr>
          <w:rFonts w:ascii="Arial" w:cs="Arial" w:eastAsia="Arial" w:hAnsi="Arial"/>
          <w:color w:val="1B2A4A"/>
          <w:sz w:val="21"/>
          <w:szCs w:val="21"/>
        </w:rPr>
        <w:t xml:space="preserve">sunk cost</w:t>
      </w:r>
      <w:r>
        <w:rPr>
          <w:rFonts w:ascii="Arial" w:cs="Arial" w:eastAsia="Arial" w:hAnsi="Arial"/>
          <w:color w:val="555555"/>
          <w:sz w:val="21"/>
          <w:szCs w:val="21"/>
        </w:rPr>
        <w:t xml:space="preserve">   ·   </w:t>
      </w:r>
      <w:r>
        <w:rPr>
          <w:rFonts w:ascii="Arial" w:cs="Arial" w:eastAsia="Arial" w:hAnsi="Arial"/>
          <w:color w:val="1B2A4A"/>
          <w:sz w:val="21"/>
          <w:szCs w:val="21"/>
        </w:rPr>
        <w:t xml:space="preserve">overbuilding</w:t>
      </w:r>
      <w:r>
        <w:rPr>
          <w:rFonts w:ascii="Arial" w:cs="Arial" w:eastAsia="Arial" w:hAnsi="Arial"/>
          <w:color w:val="555555"/>
          <w:sz w:val="21"/>
          <w:szCs w:val="21"/>
        </w:rPr>
        <w:t xml:space="preserve">   ·   </w:t>
      </w:r>
      <w:r>
        <w:rPr>
          <w:rFonts w:ascii="Arial" w:cs="Arial" w:eastAsia="Arial" w:hAnsi="Arial"/>
          <w:color w:val="1B2A4A"/>
          <w:sz w:val="21"/>
          <w:szCs w:val="21"/>
        </w:rPr>
        <w:t xml:space="preserve">franchise agreement</w:t>
      </w:r>
      <w:r>
        <w:rPr>
          <w:rFonts w:ascii="Arial" w:cs="Arial" w:eastAsia="Arial" w:hAnsi="Arial"/>
          <w:color w:val="555555"/>
          <w:sz w:val="21"/>
          <w:szCs w:val="21"/>
        </w:rPr>
        <w:t xml:space="preserve">   ·   </w:t>
      </w:r>
      <w:r>
        <w:rPr>
          <w:rFonts w:ascii="Arial" w:cs="Arial" w:eastAsia="Arial" w:hAnsi="Arial"/>
          <w:color w:val="1B2A4A"/>
          <w:sz w:val="21"/>
          <w:szCs w:val="21"/>
        </w:rPr>
        <w:t xml:space="preserve">title ii</w:t>
      </w:r>
      <w:r>
        <w:rPr>
          <w:rFonts w:ascii="Arial" w:cs="Arial" w:eastAsia="Arial" w:hAnsi="Arial"/>
          <w:color w:val="555555"/>
          <w:sz w:val="21"/>
          <w:szCs w:val="21"/>
        </w:rPr>
        <w:t xml:space="preserve">   ·   </w:t>
      </w:r>
      <w:r>
        <w:rPr>
          <w:rFonts w:ascii="Arial" w:cs="Arial" w:eastAsia="Arial" w:hAnsi="Arial"/>
          <w:color w:val="1B2A4A"/>
          <w:sz w:val="21"/>
          <w:szCs w:val="21"/>
        </w:rPr>
        <w:t xml:space="preserve">natural monopoly</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color w:val="1B2A4A"/>
          <w:sz w:val="22"/>
          <w:szCs w:val="22"/>
        </w:rPr>
        <w:t xml:space="preserve">Alex starts with the core idea. Local broadband is the textbook case where ONE provider can serve every home at a LOWER cost than two competing providers could, because building duplicate cable to the same houses wastes resources - economists call this a </w:t>
      </w:r>
      <w:r>
        <w:rPr>
          <w:u w:val="single" w:color="1B2A4A"/>
        </w:rPr>
        <w:t xml:space="preserve">                </w:t>
      </w:r>
      <w:r>
        <w:rPr>
          <w:rFonts w:ascii="Arial" w:cs="Arial" w:eastAsia="Arial" w:hAnsi="Arial"/>
          <w:color w:val="1B2A4A"/>
          <w:sz w:val="22"/>
          <w:szCs w:val="22"/>
        </w:rPr>
        <w:t xml:space="preserve"> </w:t>
      </w:r>
      <w:r>
        <w:rPr>
          <w:u w:val="single" w:color="1B2A4A"/>
        </w:rPr>
        <w:t xml:space="preserve">                </w:t>
      </w:r>
      <w:r>
        <w:rPr>
          <w:rFonts w:ascii="Arial" w:cs="Arial" w:eastAsia="Arial" w:hAnsi="Arial"/>
          <w:color w:val="1B2A4A"/>
          <w:sz w:val="22"/>
          <w:szCs w:val="22"/>
        </w:rPr>
        <w:t xml:space="preserve">.</w:t>
      </w:r>
    </w:p>
    <w:p>
      <w:pPr>
        <w:spacing w:after="120"/>
      </w:pP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color w:val="1B2A4A"/>
          <w:sz w:val="22"/>
          <w:szCs w:val="22"/>
        </w:rPr>
        <w:t xml:space="preserve">Alex explains why a second ISP rarely shows up. The money a provider already spent laying fiber to every home - $1,200 to $2,500 per home passed - can never be recovered, so it is a textbook </w:t>
      </w:r>
      <w:r>
        <w:rPr>
          <w:u w:val="single" w:color="1B2A4A"/>
        </w:rPr>
        <w:t xml:space="preserve">                </w:t>
      </w:r>
      <w:r>
        <w:rPr>
          <w:rFonts w:ascii="Arial" w:cs="Arial" w:eastAsia="Arial" w:hAnsi="Arial"/>
          <w:color w:val="1B2A4A"/>
          <w:sz w:val="22"/>
          <w:szCs w:val="22"/>
        </w:rPr>
        <w:t xml:space="preserve"> </w:t>
      </w:r>
      <w:r>
        <w:rPr>
          <w:u w:val="single" w:color="1B2A4A"/>
        </w:rPr>
        <w:t xml:space="preserve">                </w:t>
      </w:r>
      <w:r>
        <w:rPr>
          <w:rFonts w:ascii="Arial" w:cs="Arial" w:eastAsia="Arial" w:hAnsi="Arial"/>
          <w:color w:val="1B2A4A"/>
          <w:sz w:val="22"/>
          <w:szCs w:val="22"/>
        </w:rPr>
        <w:t xml:space="preserve">.</w:t>
      </w:r>
    </w:p>
    <w:p>
      <w:pPr>
        <w:spacing w:after="120"/>
      </w:pP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color w:val="1B2A4A"/>
          <w:sz w:val="22"/>
          <w:szCs w:val="22"/>
        </w:rPr>
        <w:t xml:space="preserve">Before 1992, many cities handed a single cable company an exclusive license to wire the whole town. That historical city contract granting one ISP the right to operate is called a </w:t>
      </w:r>
      <w:r>
        <w:rPr>
          <w:u w:val="single" w:color="1B2A4A"/>
        </w:rPr>
        <w:t xml:space="preserve">                </w:t>
      </w:r>
      <w:r>
        <w:rPr>
          <w:rFonts w:ascii="Arial" w:cs="Arial" w:eastAsia="Arial" w:hAnsi="Arial"/>
          <w:color w:val="1B2A4A"/>
          <w:sz w:val="22"/>
          <w:szCs w:val="22"/>
        </w:rPr>
        <w:t xml:space="preserve"> </w:t>
      </w:r>
      <w:r>
        <w:rPr>
          <w:u w:val="single" w:color="1B2A4A"/>
        </w:rPr>
        <w:t xml:space="preserve">                </w:t>
      </w:r>
      <w:r>
        <w:rPr>
          <w:rFonts w:ascii="Arial" w:cs="Arial" w:eastAsia="Arial" w:hAnsi="Arial"/>
          <w:color w:val="1B2A4A"/>
          <w:sz w:val="22"/>
          <w:szCs w:val="22"/>
        </w:rPr>
        <w:t xml:space="preserve">.</w:t>
      </w:r>
    </w:p>
    <w:p>
      <w:pPr>
        <w:spacing w:after="120"/>
      </w:pPr>
    </w:p>
    <w:p>
      <w:pPr>
        <w:keepNext/>
        <w:keepLines/>
        <w:spacing w:after="80" w:line="288" w:lineRule="auto"/>
      </w:pPr>
      <w:r>
        <w:rPr>
          <w:rFonts w:ascii="Trebuchet MS" w:cs="Trebuchet MS" w:eastAsia="Trebuchet MS" w:hAnsi="Trebuchet MS"/>
          <w:b/>
          <w:bCs/>
          <w:color w:val="145F58"/>
          <w:sz w:val="22"/>
          <w:szCs w:val="22"/>
        </w:rPr>
        <w:t xml:space="preserve">4.  </w:t>
      </w:r>
      <w:r>
        <w:rPr>
          <w:rFonts w:ascii="Arial" w:cs="Arial" w:eastAsia="Arial" w:hAnsi="Arial"/>
          <w:color w:val="1B2A4A"/>
          <w:sz w:val="22"/>
          <w:szCs w:val="22"/>
        </w:rPr>
        <w:t xml:space="preserve">Alex notes a rare exception. When a second wired ISP lays a duplicate network in an area the incumbent already serves - which almost never earns back the cost - the industry calls it </w:t>
      </w:r>
      <w:r>
        <w:rPr>
          <w:u w:val="single" w:color="1B2A4A"/>
        </w:rPr>
        <w:t xml:space="preserve">                </w:t>
      </w:r>
      <w:r>
        <w:rPr>
          <w:rFonts w:ascii="Arial" w:cs="Arial" w:eastAsia="Arial" w:hAnsi="Arial"/>
          <w:color w:val="1B2A4A"/>
          <w:sz w:val="22"/>
          <w:szCs w:val="22"/>
        </w:rPr>
        <w:t xml:space="preserve">.</w:t>
      </w:r>
    </w:p>
    <w:p>
      <w:pPr>
        <w:spacing w:after="120"/>
      </w:pPr>
    </w:p>
    <w:p>
      <w:pPr>
        <w:keepNext/>
        <w:keepLines/>
        <w:spacing w:after="80" w:line="288" w:lineRule="auto"/>
      </w:pPr>
      <w:r>
        <w:rPr>
          <w:rFonts w:ascii="Trebuchet MS" w:cs="Trebuchet MS" w:eastAsia="Trebuchet MS" w:hAnsi="Trebuchet MS"/>
          <w:b/>
          <w:bCs/>
          <w:color w:val="145F58"/>
          <w:sz w:val="22"/>
          <w:szCs w:val="22"/>
        </w:rPr>
        <w:t xml:space="preserve">5.  </w:t>
      </w:r>
      <w:r>
        <w:rPr>
          <w:rFonts w:ascii="Arial" w:cs="Arial" w:eastAsia="Arial" w:hAnsi="Arial"/>
          <w:color w:val="1B2A4A"/>
          <w:sz w:val="22"/>
          <w:szCs w:val="22"/>
        </w:rPr>
        <w:t xml:space="preserve">In April 2024 the FCC again placed broadband under the 1934 Communications Act common-carrier category, giving the agency the power to regulate ISP prices. That regulatory category is </w:t>
      </w:r>
      <w:r>
        <w:rPr>
          <w:u w:val="single" w:color="1B2A4A"/>
        </w:rPr>
        <w:t xml:space="preserve">                </w:t>
      </w:r>
      <w:r>
        <w:rPr>
          <w:rFonts w:ascii="Arial" w:cs="Arial" w:eastAsia="Arial" w:hAnsi="Arial"/>
          <w:color w:val="1B2A4A"/>
          <w:sz w:val="22"/>
          <w:szCs w:val="22"/>
        </w:rPr>
        <w:t xml:space="preserve"> </w:t>
      </w:r>
      <w:r>
        <w:rPr>
          <w:u w:val="single" w:color="1B2A4A"/>
        </w:rPr>
        <w:t xml:space="preserve">                </w:t>
      </w:r>
      <w:r>
        <w:rPr>
          <w:rFonts w:ascii="Arial" w:cs="Arial" w:eastAsia="Arial" w:hAnsi="Arial"/>
          <w:color w:val="1B2A4A"/>
          <w:sz w:val="22"/>
          <w:szCs w:val="22"/>
        </w:rPr>
        <w:t xml:space="preserve"> classification.</w:t>
      </w:r>
    </w:p>
    <w:p>
      <w:pPr>
        <w:spacing w:after="120"/>
      </w:pPr>
    </w:p>
    <w:p>
      <w:pPr>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3</w:t>
      </w:r>
    </w:p>
    <w:p>
      <w:pPr>
        <w:pStyle w:val="Heading2"/>
        <w:keepNext/>
        <w:keepLines/>
        <w:pBdr>
          <w:bottom w:val="single" w:color="1B2A4A" w:sz="6" w:space="4"/>
        </w:pBdr>
        <w:spacing w:after="40" w:before="60"/>
      </w:pPr>
      <w:r>
        <w:rPr>
          <w:rFonts w:ascii="Trebuchet MS" w:cs="Trebuchet MS" w:eastAsia="Trebuchet MS" w:hAnsi="Trebuchet MS"/>
          <w:b/>
          <w:bCs/>
          <w:color w:val="1B2A4A"/>
          <w:sz w:val="28"/>
          <w:szCs w:val="28"/>
        </w:rPr>
        <w:t xml:space="preserve">You Read the Three Broadband Charts with Alex Torres at the FCC</w:t>
      </w:r>
    </w:p>
    <w:p>
      <w:pPr>
        <w:keepNext/>
        <w:keepLines/>
        <w:spacing w:after="6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Use Chart Reference 1 (chart_broadband_competition_distribution) - the bar chart showing the percent of U.S. households with one, two, three, or four-plus wired broadband providers shown below - to evaluate the U.S. competitive landscape.</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Read the four percentages off the chart.</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Combine the one-provider and two-provider percentages to get the share of U.S. households with AT MOST TWO wired choices.</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(c)  </w:t>
      </w:r>
      <w:r>
        <w:rPr>
          <w:rFonts w:ascii="Arial" w:cs="Arial" w:eastAsia="Arial" w:hAnsi="Arial"/>
          <w:color w:val="1B2A4A"/>
          <w:sz w:val="22"/>
          <w:szCs w:val="22"/>
        </w:rPr>
        <w:t xml:space="preserve">Identify which bar is the LARGEST and which is the SMALLEST.</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(d)  </w:t>
      </w:r>
      <w:r>
        <w:rPr>
          <w:rFonts w:ascii="Arial" w:cs="Arial" w:eastAsia="Arial" w:hAnsi="Arial"/>
          <w:color w:val="1B2A4A"/>
          <w:sz w:val="22"/>
          <w:szCs w:val="22"/>
        </w:rPr>
        <w:t xml:space="preserve">In 1-2 sentences, explain why the FCC Wireline Competition Bureau treats the ~30% one-provider market as the central policy concern.</w:t>
      </w:r>
    </w:p>
    <w:p>
      <w:pPr>
        <w:keepNext/>
        <w:keepLines/>
        <w:pBdr>
          <w:top w:val="none"/>
          <w:bottom w:val="single" w:color="333333" w:sz="4"/>
          <w:left w:val="none"/>
          <w:right w:val="none"/>
          <w:between w:val="single" w:color="333333" w:sz="4"/>
        </w:pBdr>
        <w:spacing w:after="120" w:before="40"/>
        <w:ind w:left="360"/>
      </w:pPr>
    </w:p>
    <w:p>
      <w:pPr>
        <w:keepNext w:val="false"/>
        <w:keepLines/>
        <w:pBdr>
          <w:top w:val="none"/>
          <w:bottom w:val="single" w:color="333333" w:sz="4"/>
          <w:left w:val="none"/>
          <w:right w:val="none"/>
          <w:between w:val="single" w:color="333333" w:sz="4"/>
        </w:pBdr>
        <w:spacing w:after="120" w:before="40"/>
        <w:ind w:left="360"/>
      </w:pPr>
    </w:p>
    <w:p>
      <w:pPr>
        <w:spacing w:after="120"/>
      </w:pPr>
    </w:p>
    <w:p>
      <w:pPr>
        <w:keepNext/>
        <w:keepLines/>
        <w:spacing w:after="6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Use Chart Reference 2 (chart_broadband_price_by_competition) - the bar chart showing average monthly broadband price by local competition level shown below - to compute the monopoly price premium.</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Read the three prices off the chart (monopoly market, duopoly market, three-plus competitor market).</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Calculate the monthly gap between the MONOPOLY price and the COMPETITIVE (three-plus) price.</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(c)  </w:t>
      </w:r>
      <w:r>
        <w:rPr>
          <w:rFonts w:ascii="Arial" w:cs="Arial" w:eastAsia="Arial" w:hAnsi="Arial"/>
          <w:color w:val="1B2A4A"/>
          <w:sz w:val="22"/>
          <w:szCs w:val="22"/>
        </w:rPr>
        <w:t xml:space="preserve">Multiply by 12 to get the annual extra cost per household.</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(d)  </w:t>
      </w:r>
      <w:r>
        <w:rPr>
          <w:rFonts w:ascii="Arial" w:cs="Arial" w:eastAsia="Arial" w:hAnsi="Arial"/>
          <w:color w:val="1B2A4A"/>
          <w:sz w:val="22"/>
          <w:szCs w:val="22"/>
        </w:rPr>
        <w:t xml:space="preserve">In 1-2 sentences, explain why the four features of monopoly predict this exact price pattern.</w:t>
      </w:r>
    </w:p>
    <w:p>
      <w:pPr>
        <w:keepNext/>
        <w:keepLines/>
        <w:pBdr>
          <w:top w:val="none"/>
          <w:bottom w:val="single" w:color="333333" w:sz="4"/>
          <w:left w:val="none"/>
          <w:right w:val="none"/>
          <w:between w:val="single" w:color="333333" w:sz="4"/>
        </w:pBdr>
        <w:spacing w:after="120" w:before="40"/>
        <w:ind w:left="360"/>
      </w:pPr>
    </w:p>
    <w:p>
      <w:pPr>
        <w:keepNext w:val="false"/>
        <w:keepLines/>
        <w:pBdr>
          <w:top w:val="none"/>
          <w:bottom w:val="single" w:color="333333" w:sz="4"/>
          <w:left w:val="none"/>
          <w:right w:val="none"/>
          <w:between w:val="single" w:color="333333" w:sz="4"/>
        </w:pBdr>
        <w:spacing w:after="120" w:before="40"/>
        <w:ind w:left="360"/>
      </w:pPr>
    </w:p>
    <w:p>
      <w:pPr>
        <w:spacing w:after="120"/>
      </w:pPr>
    </w:p>
    <w:p>
      <w:pPr>
        <w:keepNext/>
        <w:keepLines/>
        <w:spacing w:after="6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Use Chart Reference 3 (chart_chattanooga_municipal_case) - the bar chart showing average monthly broadband price in Chattanooga TN before and after the EPB Fiber municipal network launched in September 2010 shown below - to evaluate whether municipal broadband works.</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Read the three prices off the chart (2009 pre-launch, 2011 one year after, 2012 two years after).</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Calculate the total price drop in dollars AND in percent.</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(c)  </w:t>
      </w:r>
      <w:r>
        <w:rPr>
          <w:rFonts w:ascii="Arial" w:cs="Arial" w:eastAsia="Arial" w:hAnsi="Arial"/>
          <w:color w:val="1B2A4A"/>
          <w:sz w:val="22"/>
          <w:szCs w:val="22"/>
        </w:rPr>
        <w:t xml:space="preserve">Identify the TWO mechanisms that produced the drop.</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(d)  </w:t>
      </w:r>
      <w:r>
        <w:rPr>
          <w:rFonts w:ascii="Arial" w:cs="Arial" w:eastAsia="Arial" w:hAnsi="Arial"/>
          <w:color w:val="1B2A4A"/>
          <w:sz w:val="22"/>
          <w:szCs w:val="22"/>
        </w:rPr>
        <w:t xml:space="preserve">In 1-2 sentences, explain why this is evidence that ISP monopoly pricing reflects market power - not cost.</w:t>
      </w:r>
    </w:p>
    <w:p>
      <w:pPr>
        <w:keepNext/>
        <w:keepLines/>
        <w:pBdr>
          <w:top w:val="none"/>
          <w:bottom w:val="single" w:color="333333" w:sz="4"/>
          <w:left w:val="none"/>
          <w:right w:val="none"/>
          <w:between w:val="single" w:color="333333" w:sz="4"/>
        </w:pBdr>
        <w:spacing w:after="120" w:before="40"/>
        <w:ind w:left="360"/>
      </w:pPr>
    </w:p>
    <w:p>
      <w:pPr>
        <w:keepNext w:val="false"/>
        <w:keepLines/>
        <w:pBdr>
          <w:top w:val="none"/>
          <w:bottom w:val="single" w:color="333333" w:sz="4"/>
          <w:left w:val="none"/>
          <w:right w:val="none"/>
          <w:between w:val="single" w:color="333333" w:sz="4"/>
        </w:pBdr>
        <w:spacing w:after="120" w:before="40"/>
        <w:ind w:left="360"/>
      </w:pPr>
    </w:p>
    <w:p>
      <w:pPr>
        <w:spacing w:after="120"/>
      </w:pPr>
    </w:p>
    <w:p>
      <w:pPr>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4</w:t>
      </w:r>
    </w:p>
    <w:p>
      <w:pPr>
        <w:pStyle w:val="Heading2"/>
        <w:keepNext/>
        <w:keepLines/>
        <w:pBdr>
          <w:bottom w:val="single" w:color="1B2A4A" w:sz="6" w:space="4"/>
        </w:pBdr>
        <w:spacing w:after="40" w:before="60"/>
      </w:pPr>
      <w:r>
        <w:rPr>
          <w:rFonts w:ascii="Trebuchet MS" w:cs="Trebuchet MS" w:eastAsia="Trebuchet MS" w:hAnsi="Trebuchet MS"/>
          <w:b/>
          <w:bCs/>
          <w:color w:val="1B2A4A"/>
          <w:sz w:val="28"/>
          <w:szCs w:val="28"/>
        </w:rPr>
        <w:t xml:space="preserve">Four Real Scenarios with Alex Torres - Apply the Model</w:t>
      </w:r>
    </w:p>
    <w:p>
      <w:pPr>
        <w:keepNext/>
        <w:keepLines/>
        <w:spacing w:after="6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THE FCC FORM 477 DATASET ANALYSIS. Alex hands you the FCC Form 477 broadband deployment dataset - the master file showing which ISPs offer service in which U.S. census blocks.</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In 1 sentence, define FCC Form 477.</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Name TWO ways the FCC uses this dataset for policy work.</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(c)  </w:t>
      </w:r>
      <w:r>
        <w:rPr>
          <w:rFonts w:ascii="Arial" w:cs="Arial" w:eastAsia="Arial" w:hAnsi="Arial"/>
          <w:color w:val="1B2A4A"/>
          <w:sz w:val="22"/>
          <w:szCs w:val="22"/>
        </w:rPr>
        <w:t xml:space="preserve">Identify ONE specific WEAKNESS of the Form 477 dataset that Alex says you should flag in any policy memo.</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(d)  </w:t>
      </w:r>
      <w:r>
        <w:rPr>
          <w:rFonts w:ascii="Arial" w:cs="Arial" w:eastAsia="Arial" w:hAnsi="Arial"/>
          <w:color w:val="1B2A4A"/>
          <w:sz w:val="22"/>
          <w:szCs w:val="22"/>
        </w:rPr>
        <w:t xml:space="preserve">Recommend ONE specific improvement to how the FCC collects broadband competition data.</w:t>
      </w:r>
    </w:p>
    <w:p>
      <w:pPr>
        <w:keepNext/>
        <w:keepLines/>
        <w:pBdr>
          <w:top w:val="none"/>
          <w:bottom w:val="single" w:color="333333" w:sz="4"/>
          <w:left w:val="none"/>
          <w:right w:val="none"/>
          <w:between w:val="single" w:color="333333" w:sz="4"/>
        </w:pBdr>
        <w:spacing w:after="120" w:before="40"/>
        <w:ind w:left="360"/>
      </w:pPr>
    </w:p>
    <w:p>
      <w:pPr>
        <w:keepNext w:val="false"/>
        <w:keepLines/>
        <w:pBdr>
          <w:top w:val="none"/>
          <w:bottom w:val="single" w:color="333333" w:sz="4"/>
          <w:left w:val="none"/>
          <w:right w:val="none"/>
          <w:between w:val="single" w:color="333333" w:sz="4"/>
        </w:pBdr>
        <w:spacing w:after="120" w:before="40"/>
        <w:ind w:left="360"/>
      </w:pPr>
    </w:p>
    <w:p>
      <w:pPr>
        <w:spacing w:after="120"/>
      </w:pPr>
    </w:p>
    <w:p>
      <w:pPr>
        <w:keepNext/>
        <w:keepLines/>
        <w:spacing w:after="6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THE CHATTANOOGA REPLICATION QUESTION. The Chattanooga case shows that when a municipal provider entered, prices dropped 35% in two years. Suppose your state allows municipal broadband (it might - check the list of 19 banned states).</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Name ONE structural reason most cities have NOT tried to replicate Chattanooga even when allowed.</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Identify the ONE specific advantage Chattanooga had that most cities lack.</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(c)  </w:t>
      </w:r>
      <w:r>
        <w:rPr>
          <w:rFonts w:ascii="Arial" w:cs="Arial" w:eastAsia="Arial" w:hAnsi="Arial"/>
          <w:color w:val="1B2A4A"/>
          <w:sz w:val="22"/>
          <w:szCs w:val="22"/>
        </w:rPr>
        <w:t xml:space="preserve">Predict what would happen to local incumbent ISP prices if YOUR city built a municipal fiber network.</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(d)  </w:t>
      </w:r>
      <w:r>
        <w:rPr>
          <w:rFonts w:ascii="Arial" w:cs="Arial" w:eastAsia="Arial" w:hAnsi="Arial"/>
          <w:color w:val="1B2A4A"/>
          <w:sz w:val="22"/>
          <w:szCs w:val="22"/>
        </w:rPr>
        <w:t xml:space="preserve">Argue whether the federal government should SUBSIDIZE municipal broadband builds the way the BEAD program subsidizes private ISPs.</w:t>
      </w:r>
    </w:p>
    <w:p>
      <w:pPr>
        <w:keepNext w:val="false"/>
        <w:keepLines/>
        <w:pBdr>
          <w:top w:val="none"/>
          <w:bottom w:val="single" w:color="333333" w:sz="4"/>
          <w:left w:val="none"/>
          <w:right w:val="none"/>
          <w:between w:val="single" w:color="333333" w:sz="4"/>
        </w:pBdr>
        <w:spacing w:after="120" w:before="40"/>
        <w:ind w:left="360"/>
      </w:pPr>
    </w:p>
    <w:p>
      <w:pPr>
        <w:spacing w:after="120"/>
      </w:pPr>
    </w:p>
    <w:p>
      <w:pPr>
        <w:keepNext/>
        <w:keepLines/>
        <w:spacing w:after="6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THE RURAL BROADBAND SUBSIDY DECISION. The 2021 Infrastructure Investment and Jobs Act allocated $42.5 billion for rural broadband through the BEAD program. Suppose the FCC asks you to recommend HOW the BEAD funds should be distributed - to private ISPs, to municipal providers, or to satellite (like Starlink).</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Name the central pedagogical question: should BEAD fund the LOWEST-COST option (often satellite) or the HIGHEST-CAPACITY option (typically fiber)?</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Argue the case for funding fiber-to-the-home for rural households.</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(c)  </w:t>
      </w:r>
      <w:r>
        <w:rPr>
          <w:rFonts w:ascii="Arial" w:cs="Arial" w:eastAsia="Arial" w:hAnsi="Arial"/>
          <w:color w:val="1B2A4A"/>
          <w:sz w:val="22"/>
          <w:szCs w:val="22"/>
        </w:rPr>
        <w:t xml:space="preserve">Argue the case for funding satellite (Starlink) instead.</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(d)  </w:t>
      </w:r>
      <w:r>
        <w:rPr>
          <w:rFonts w:ascii="Arial" w:cs="Arial" w:eastAsia="Arial" w:hAnsi="Arial"/>
          <w:color w:val="1B2A4A"/>
          <w:sz w:val="22"/>
          <w:szCs w:val="22"/>
        </w:rPr>
        <w:t xml:space="preserve">Pick a recommendation - what specific allocation principle would you propose?</w:t>
      </w:r>
    </w:p>
    <w:p>
      <w:pPr>
        <w:keepNext w:val="false"/>
        <w:keepLines/>
        <w:pBdr>
          <w:top w:val="none"/>
          <w:bottom w:val="single" w:color="333333" w:sz="4"/>
          <w:left w:val="none"/>
          <w:right w:val="none"/>
          <w:between w:val="single" w:color="333333" w:sz="4"/>
        </w:pBdr>
        <w:spacing w:after="120" w:before="40"/>
        <w:ind w:left="360"/>
      </w:pPr>
    </w:p>
    <w:p>
      <w:pPr>
        <w:spacing w:after="120"/>
      </w:pPr>
    </w:p>
    <w:p>
      <w:pPr>
        <w:keepNext/>
        <w:keepLines/>
        <w:spacing w:after="60" w:line="288" w:lineRule="auto"/>
      </w:pPr>
      <w:r>
        <w:rPr>
          <w:rFonts w:ascii="Trebuchet MS" w:cs="Trebuchet MS" w:eastAsia="Trebuchet MS" w:hAnsi="Trebuchet MS"/>
          <w:b/>
          <w:bCs/>
          <w:color w:val="145F58"/>
          <w:sz w:val="22"/>
          <w:szCs w:val="22"/>
        </w:rPr>
        <w:t xml:space="preserve">4.  </w:t>
      </w:r>
      <w:r>
        <w:rPr>
          <w:rFonts w:ascii="Arial" w:cs="Arial" w:eastAsia="Arial" w:hAnsi="Arial"/>
          <w:b/>
          <w:bCs/>
          <w:color w:val="1B2A4A"/>
          <w:sz w:val="22"/>
          <w:szCs w:val="22"/>
        </w:rPr>
        <w:t xml:space="preserve">THE TITLE II CLASSIFICATION TRADE-OFF. In April 2024 the FCC restored Title II classification - broadband is once again a 'common carrier' utility under the 1934 Communications Act.</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In 1 sentence, define Title II classification.</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Identify the SPECIFIC regulatory power Title II gives the FCC over ISP monopolies.</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(c)  </w:t>
      </w:r>
      <w:r>
        <w:rPr>
          <w:rFonts w:ascii="Arial" w:cs="Arial" w:eastAsia="Arial" w:hAnsi="Arial"/>
          <w:color w:val="1B2A4A"/>
          <w:sz w:val="22"/>
          <w:szCs w:val="22"/>
        </w:rPr>
        <w:t xml:space="preserve">Argue the case AGAINST Title II - what is the trade-off ISPs raise?</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(d)  </w:t>
      </w:r>
      <w:r>
        <w:rPr>
          <w:rFonts w:ascii="Arial" w:cs="Arial" w:eastAsia="Arial" w:hAnsi="Arial"/>
          <w:color w:val="1B2A4A"/>
          <w:sz w:val="22"/>
          <w:szCs w:val="22"/>
        </w:rPr>
        <w:t xml:space="preserve">In 1-2 sentences, recommend whether the FCC should USE its Title II powers to regulate ISP prices directly - or hold back.</w:t>
      </w:r>
    </w:p>
    <w:p>
      <w:pPr>
        <w:keepNext/>
        <w:keepLines/>
        <w:pBdr>
          <w:top w:val="none"/>
          <w:bottom w:val="single" w:color="333333" w:sz="4"/>
          <w:left w:val="none"/>
          <w:right w:val="none"/>
          <w:between w:val="single" w:color="333333" w:sz="4"/>
        </w:pBdr>
        <w:spacing w:after="120" w:before="40"/>
        <w:ind w:left="360"/>
      </w:pPr>
    </w:p>
    <w:p>
      <w:pPr>
        <w:keepNext w:val="false"/>
        <w:keepLines/>
        <w:pBdr>
          <w:top w:val="none"/>
          <w:bottom w:val="single" w:color="333333" w:sz="4"/>
          <w:left w:val="none"/>
          <w:right w:val="none"/>
          <w:between w:val="single" w:color="333333" w:sz="4"/>
        </w:pBdr>
        <w:spacing w:after="120" w:before="40"/>
        <w:ind w:left="360"/>
      </w:pPr>
    </w:p>
    <w:p>
      <w:pPr>
        <w:spacing w:after="120"/>
      </w:pPr>
    </w:p>
    <w:p>
      <w:pPr>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5</w:t>
      </w:r>
    </w:p>
    <w:p>
      <w:pPr>
        <w:pStyle w:val="Heading2"/>
        <w:keepNext/>
        <w:keepLines/>
        <w:pBdr>
          <w:bottom w:val="single" w:color="1B2A4A" w:sz="6" w:space="4"/>
        </w:pBdr>
        <w:spacing w:after="40" w:before="60"/>
      </w:pPr>
      <w:r>
        <w:rPr>
          <w:rFonts w:ascii="Trebuchet MS" w:cs="Trebuchet MS" w:eastAsia="Trebuchet MS" w:hAnsi="Trebuchet MS"/>
          <w:b/>
          <w:bCs/>
          <w:color w:val="1B2A4A"/>
          <w:sz w:val="28"/>
          <w:szCs w:val="28"/>
        </w:rPr>
        <w:t xml:space="preserve">Your Final Recommendation Memo to Alex Torres</w:t>
      </w:r>
    </w:p>
    <w:p>
      <w:pPr>
        <w:keepNext/>
        <w:keepLines/>
        <w:spacing w:after="40"/>
      </w:pPr>
      <w:r>
        <w:rPr>
          <w:rFonts w:ascii="Trebuchet MS" w:cs="Trebuchet MS" w:eastAsia="Trebuchet MS" w:hAnsi="Trebuchet MS"/>
          <w:b/>
          <w:bCs/>
          <w:color w:val="B84D38"/>
          <w:spacing w:val="12"/>
          <w:sz w:val="17"/>
          <w:szCs w:val="17"/>
        </w:rPr>
        <w:t xml:space="preserve">FCC LOCAL BROADBAND POLICY RECOMMENDATION MEMO</w:t>
      </w:r>
    </w:p>
    <w:p>
      <w:pPr>
        <w:keepNext/>
        <w:keepLines/>
        <w:spacing w:after="40" w:line="288" w:lineRule="auto"/>
      </w:pPr>
      <w:r>
        <w:rPr>
          <w:rFonts w:ascii="Trebuchet MS" w:cs="Trebuchet MS" w:eastAsia="Trebuchet MS" w:hAnsi="Trebuchet MS"/>
          <w:b/>
          <w:bCs/>
          <w:color w:val="145F58"/>
          <w:sz w:val="22"/>
          <w:szCs w:val="22"/>
        </w:rPr>
        <w:t xml:space="preserve">1.  </w:t>
      </w:r>
      <w:r>
        <w:rPr>
          <w:rFonts w:ascii="Arial" w:cs="Arial" w:eastAsia="Arial" w:hAnsi="Arial"/>
          <w:color w:val="1B2A4A"/>
          <w:sz w:val="22"/>
          <w:szCs w:val="22"/>
        </w:rPr>
        <w:t xml:space="preserve">Alex is briefing the FCC Wireline Competition Bureau next week and needs a one-page recommendation drafted by an intern.</w:t>
      </w:r>
    </w:p>
    <w:p>
      <w:pPr>
        <w:keepNext/>
        <w:keepLines/>
        <w:spacing w:after="80" w:line="288" w:lineRule="auto"/>
        <w:ind w:left="380"/>
      </w:pPr>
      <w:r>
        <w:rPr>
          <w:rFonts w:ascii="Arial" w:cs="Arial" w:eastAsia="Arial" w:hAnsi="Arial"/>
          <w:b/>
          <w:bCs/>
          <w:color w:val="1B2A4A"/>
          <w:sz w:val="22"/>
          <w:szCs w:val="22"/>
        </w:rPr>
        <w:t xml:space="preserve">Using your work from Parts 1-4, what should the FCC do about local broadband monopolies, and which single policy lever should it prioritize over the next 12 months?</w:t>
      </w:r>
    </w:p>
    <w:p>
      <w:pPr>
        <w:keepNext/>
        <w:spacing w:after="20" w:before="40"/>
      </w:pPr>
      <w:r>
        <w:rPr>
          <w:rFonts w:ascii="Trebuchet MS" w:cs="Trebuchet MS" w:eastAsia="Trebuchet MS" w:hAnsi="Trebuchet MS"/>
          <w:b/>
          <w:bCs/>
          <w:color w:val="145F58"/>
          <w:spacing w:val="12"/>
          <w:sz w:val="17"/>
          <w:szCs w:val="17"/>
        </w:rPr>
        <w:t xml:space="preserve">YOUR RESPONSE MUST:</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Names a SPECIFIC POLICY LEVER (Title II classification, BEAD subsidy redirection, preempting state municipal broadband bans, FCC Form 477 reform, or another) AND ties the choice to the four features of monopoly.</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Uses the term NATURAL MONOPOLY correctly - explains why local broadband is the textbook natural monopoly because of high fixed infrastructure costs.</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Uses the term SUNK COST correctly - identifies the $1,200-$2,500 per home cost of laying cable as the central barrier to entry.</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Uses the term MUNICIPAL BROADBAND correctly - either recommends preempting state bans on it OR explains why municipal broadband works (Chattanooga case).</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Quotes at least ONE specific value from the chart appendix (the ~30% of households with one wired provider, the $30/month monopoly price premium, the $360/year extra cost, the Chattanooga $89 to $58 drop, the 35% Chattanooga reduction, or another) to ground the recommendation in real data.</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Closes with a SPECIFIC PROCEDURAL NEXT STEP the FCC should take in the next 12 months (e.g., issue notice of proposed rulemaking on wholesale access under Title II, request congressional clarification on Tenth Amendment preemption of state municipal broadband bans, expand BEAD program reporting requirements).</w:t>
      </w:r>
    </w:p>
    <w:p>
      <w:pPr>
        <w:keepNext/>
        <w:spacing w:after="20" w:before="80"/>
      </w:pPr>
      <w:r>
        <w:rPr>
          <w:rFonts w:ascii="Trebuchet MS" w:cs="Trebuchet MS" w:eastAsia="Trebuchet MS" w:hAnsi="Trebuchet MS"/>
          <w:b/>
          <w:bCs/>
          <w:color w:val="145F58"/>
          <w:spacing w:val="12"/>
          <w:sz w:val="17"/>
          <w:szCs w:val="17"/>
        </w:rPr>
        <w:t xml:space="preserve">MEMO</w:t>
      </w:r>
    </w:p>
    <w:p>
      <w:pPr>
        <w:keepNext/>
        <w:keepLines/>
        <w:spacing w:after="40"/>
      </w:pPr>
      <w:r>
        <w:rPr>
          <w:rFonts w:ascii="Arial" w:cs="Arial" w:eastAsia="Arial" w:hAnsi="Arial"/>
          <w:b/>
          <w:bCs/>
          <w:color w:val="1B2A4A"/>
          <w:sz w:val="22"/>
          <w:szCs w:val="22"/>
        </w:rPr>
        <w:t xml:space="preserve">To:  </w:t>
      </w:r>
      <w:r>
        <w:rPr>
          <w:rFonts w:ascii="Arial" w:cs="Arial" w:eastAsia="Arial" w:hAnsi="Arial"/>
          <w:color w:val="1B2A4A"/>
          <w:sz w:val="22"/>
          <w:szCs w:val="22"/>
        </w:rPr>
        <w:t xml:space="preserve">Alex Torres, Senior Policy Analyst</w:t>
      </w:r>
    </w:p>
    <w:p>
      <w:pPr>
        <w:keepNext/>
        <w:keepLines/>
        <w:spacing w:after="40"/>
      </w:pPr>
      <w:r>
        <w:rPr>
          <w:rFonts w:ascii="Arial" w:cs="Arial" w:eastAsia="Arial" w:hAnsi="Arial"/>
          <w:b/>
          <w:bCs/>
          <w:color w:val="1B2A4A"/>
          <w:sz w:val="22"/>
          <w:szCs w:val="22"/>
        </w:rPr>
        <w:t xml:space="preserve">From:  </w:t>
      </w:r>
      <w:r>
        <w:rPr>
          <w:u w:val="single" w:color="1B2A4A"/>
        </w:rPr>
        <w:t xml:space="preserve">                        </w:t>
      </w:r>
    </w:p>
    <w:p>
      <w:pPr>
        <w:keepNext/>
        <w:keepLines/>
        <w:spacing w:after="40"/>
      </w:pPr>
      <w:r>
        <w:rPr>
          <w:rFonts w:ascii="Arial" w:cs="Arial" w:eastAsia="Arial" w:hAnsi="Arial"/>
          <w:b/>
          <w:bCs/>
          <w:color w:val="1B2A4A"/>
          <w:sz w:val="22"/>
          <w:szCs w:val="22"/>
        </w:rPr>
        <w:t xml:space="preserve">Date:  </w:t>
      </w:r>
      <w:r>
        <w:rPr>
          <w:u w:val="single" w:color="1B2A4A"/>
        </w:rPr>
        <w:t xml:space="preserve">                        </w:t>
      </w:r>
    </w:p>
    <w:p>
      <w:pPr>
        <w:keepNext/>
        <w:keepLines/>
        <w:spacing w:after="120"/>
      </w:pPr>
      <w:r>
        <w:rPr>
          <w:rFonts w:ascii="Arial" w:cs="Arial" w:eastAsia="Arial" w:hAnsi="Arial"/>
          <w:b/>
          <w:bCs/>
          <w:color w:val="1B2A4A"/>
          <w:sz w:val="22"/>
          <w:szCs w:val="22"/>
        </w:rPr>
        <w:t xml:space="preserve">Re:  </w:t>
      </w:r>
      <w:r>
        <w:rPr>
          <w:rFonts w:ascii="Arial" w:cs="Arial" w:eastAsia="Arial" w:hAnsi="Arial"/>
          <w:color w:val="1B2A4A"/>
          <w:sz w:val="22"/>
          <w:szCs w:val="22"/>
        </w:rPr>
        <w:t xml:space="preserve">FCC Local Broadband Monopoly Policy Recommendation</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val="false"/>
        <w:keepLines/>
        <w:pBdr>
          <w:top w:val="none"/>
          <w:bottom w:val="single" w:color="333333" w:sz="4"/>
          <w:left w:val="none"/>
          <w:right w:val="none"/>
          <w:between w:val="single" w:color="333333" w:sz="4"/>
        </w:pBdr>
        <w:spacing w:after="120" w:before="40"/>
      </w:pPr>
    </w:p>
    <w:p>
      <w:pPr>
        <w:keepNext/>
        <w:keepLines/>
        <w:pageBreakBefore/>
        <w:shd w:fill="1B2A4A" w:val="clear"/>
        <w:spacing w:after="80" w:before="200" w:line="300" w:lineRule="auto"/>
        <w:ind w:left="120" w:right="120"/>
      </w:pPr>
      <w:r>
        <w:rPr>
          <w:rFonts w:ascii="Trebuchet MS" w:cs="Trebuchet MS" w:eastAsia="Trebuchet MS" w:hAnsi="Trebuchet MS"/>
          <w:b/>
          <w:bCs/>
          <w:color w:val="FFFFFF"/>
          <w:spacing w:val="23"/>
          <w:sz w:val="22"/>
          <w:szCs w:val="22"/>
        </w:rPr>
        <w:t xml:space="preserve">CHART REFERENCE 1: U.S. HOUSEHOLDS BY NUMBER OF WIRED BROADBAND PROVIDERS (FCC FORM 477, 2024 ESTIMATE AT 100 MBPS)</w:t>
      </w:r>
    </w:p>
    <w:p>
      <w:pPr>
        <w:spacing w:after="0" w:before="0"/>
      </w:pPr>
      <w:r>
        <w:rPr>
          <w:rFonts w:ascii="Arial" w:cs="Arial" w:eastAsia="Arial" w:hAnsi="Arial"/>
          <w:color w:val="FFFFFF"/>
          <w:sz w:val="2"/>
          <w:szCs w:val="2"/>
        </w:rPr>
        <w:t xml:space="preserve">Use Chart Reference 1 (chart_broadband_competition_distribution) - the bar chart showing the percent of U.S. households with one, two, three, or four-plus wired broadband providers shown below.</w:t>
      </w:r>
    </w:p>
    <w:p>
      <w:r>
        <w:drawing>
          <wp:inline xmlns:a="http://schemas.openxmlformats.org/drawingml/2006/main" xmlns:pic="http://schemas.openxmlformats.org/drawingml/2006/picture">
            <wp:extent cx="5303520" cy="3374678"/>
            <wp:docPr id="1" name="mllp:chart_broadband_competition_distribution|isp-monopolies-activity-studen|docx|chart-broadband-competition-distribution|" title="mllp:chart_broadband_competition_distribution|isp-monopolies-activity-studen|docx|chart-broadband-competition-distribution|" descr="Bar chart showing the distribution of U.S. households by the number of wired broadband providers offering at least 100 Mbps download speed at their address, based on FCC Form 477 deployment data estimated for 2024. About 30 percent of U.S. households have only ONE wired broadband provider at 100 Mbps - a local monopoly. About 50 percent of households have TWO providers - a local duopoly. About 15 percent have THREE providers. About 5 percent have FOUR or more providers. The single-provider bar at 30 percent and the two-provider bar at 50 percent dominate; the three-plus categories are small. Most U.S. households have either no real choice or only two choices for high-speed wired internet."/>
            <wp:cNvGraphicFramePr>
              <a:graphicFrameLocks noChangeAspect="1"/>
            </wp:cNvGraphicFramePr>
            <a:graphic>
              <a:graphicData uri="http://schemas.openxmlformats.org/drawingml/2006/picture">
                <pic:pic>
                  <pic:nvPicPr>
                    <pic:cNvPr id="0" name="chart_broadband_competition_distribution.png"/>
                    <pic:cNvPicPr/>
                  </pic:nvPicPr>
                  <pic:blipFill>
                    <a:blip r:embed="rId9"/>
                    <a:stretch>
                      <a:fillRect/>
                    </a:stretch>
                  </pic:blipFill>
                  <pic:spPr>
                    <a:xfrm>
                      <a:off x="0" y="0"/>
                      <a:ext cx="5303520" cy="3374678"/>
                    </a:xfrm>
                    <a:prstGeom prst="rect"/>
                  </pic:spPr>
                </pic:pic>
              </a:graphicData>
            </a:graphic>
          </wp:inline>
        </w:drawing>
      </w:r>
    </w:p>
    <w:p>
      <w:pPr>
        <w:keepNext/>
        <w:keepLines/>
        <w:pageBreakBefore/>
        <w:shd w:fill="1B2A4A" w:val="clear"/>
        <w:spacing w:after="80" w:before="200" w:line="300" w:lineRule="auto"/>
        <w:ind w:left="120" w:right="120"/>
      </w:pPr>
      <w:r>
        <w:rPr>
          <w:rFonts w:ascii="Trebuchet MS" w:cs="Trebuchet MS" w:eastAsia="Trebuchet MS" w:hAnsi="Trebuchet MS"/>
          <w:b/>
          <w:bCs/>
          <w:color w:val="FFFFFF"/>
          <w:spacing w:val="23"/>
          <w:sz w:val="22"/>
          <w:szCs w:val="22"/>
        </w:rPr>
        <w:t xml:space="preserve">CHART REFERENCE 2: AVERAGE MONTHLY BROADBAND PRICE BY NUMBER OF COMPETITORS IN THE LOCAL MARKET</w:t>
      </w:r>
    </w:p>
    <w:p>
      <w:pPr>
        <w:spacing w:after="0" w:before="0"/>
      </w:pPr>
      <w:r>
        <w:rPr>
          <w:rFonts w:ascii="Arial" w:cs="Arial" w:eastAsia="Arial" w:hAnsi="Arial"/>
          <w:color w:val="FFFFFF"/>
          <w:sz w:val="2"/>
          <w:szCs w:val="2"/>
        </w:rPr>
        <w:t xml:space="preserve">Use Chart Reference 2 (chart_broadband_price_by_competition) - the bar chart showing average monthly broadband price ($/month) for monopoly, duopoly, and three-plus competitor markets shown below.</w:t>
      </w:r>
    </w:p>
    <w:p>
      <w:r>
        <w:drawing>
          <wp:inline xmlns:a="http://schemas.openxmlformats.org/drawingml/2006/main" xmlns:pic="http://schemas.openxmlformats.org/drawingml/2006/picture">
            <wp:extent cx="5303520" cy="4815890"/>
            <wp:docPr id="2" name="mllp:chart_broadband_price_by_competition|isp-monopolies-activity-studen|docx|chart-broadband-price-by-competition|" title="mllp:chart_broadband_price_by_competition|isp-monopolies-activity-studen|docx|chart-broadband-price-by-competition|" descr="Bar chart showing how the average monthly broadband price varies with the number of wired competitors in a local market. In monopoly markets (one wired provider), the average price is $85 per month. In duopoly markets (two providers), the average drops to $68 per month. In markets with three or more wired competitors, the average drops further to $55 per month. The monopoly bar at $85 is the tallest; the three-plus competitor bar at $55 is the shortest. The gap between monopoly and competitive markets is roughly $30 per month, or $360 per year. This is the central economic argument for FCC policy intervention in local broadband markets."/>
            <wp:cNvGraphicFramePr>
              <a:graphicFrameLocks noChangeAspect="1"/>
            </wp:cNvGraphicFramePr>
            <a:graphic>
              <a:graphicData uri="http://schemas.openxmlformats.org/drawingml/2006/picture">
                <pic:pic>
                  <pic:nvPicPr>
                    <pic:cNvPr id="0" name="chart_broadband_price_by_competition.png"/>
                    <pic:cNvPicPr/>
                  </pic:nvPicPr>
                  <pic:blipFill>
                    <a:blip r:embed="rId10"/>
                    <a:stretch>
                      <a:fillRect/>
                    </a:stretch>
                  </pic:blipFill>
                  <pic:spPr>
                    <a:xfrm>
                      <a:off x="0" y="0"/>
                      <a:ext cx="5303520" cy="4815890"/>
                    </a:xfrm>
                    <a:prstGeom prst="rect"/>
                  </pic:spPr>
                </pic:pic>
              </a:graphicData>
            </a:graphic>
          </wp:inline>
        </w:drawing>
      </w:r>
    </w:p>
    <w:p>
      <w:pPr>
        <w:keepNext/>
        <w:keepLines/>
        <w:pageBreakBefore/>
        <w:shd w:fill="1B2A4A" w:val="clear"/>
        <w:spacing w:after="80" w:before="200" w:line="300" w:lineRule="auto"/>
        <w:ind w:left="120" w:right="120"/>
      </w:pPr>
      <w:r>
        <w:rPr>
          <w:rFonts w:ascii="Trebuchet MS" w:cs="Trebuchet MS" w:eastAsia="Trebuchet MS" w:hAnsi="Trebuchet MS"/>
          <w:b/>
          <w:bCs/>
          <w:color w:val="FFFFFF"/>
          <w:spacing w:val="23"/>
          <w:sz w:val="22"/>
          <w:szCs w:val="22"/>
        </w:rPr>
        <w:t xml:space="preserve">CHART REFERENCE 3: CHATTANOOGA EPB FIBER MUNICIPAL BROADBAND CASE STUDY - PRICE BEFORE AND AFTER LAUNCH</w:t>
      </w:r>
    </w:p>
    <w:p>
      <w:pPr>
        <w:spacing w:after="0" w:before="0"/>
      </w:pPr>
      <w:r>
        <w:rPr>
          <w:rFonts w:ascii="Arial" w:cs="Arial" w:eastAsia="Arial" w:hAnsi="Arial"/>
          <w:color w:val="FFFFFF"/>
          <w:sz w:val="2"/>
          <w:szCs w:val="2"/>
        </w:rPr>
        <w:t xml:space="preserve">Use Chart Reference 3 (chart_chattanooga_municipal_case) - the bar chart showing average monthly broadband price in Chattanooga before EPB Fiber launched (2009), one year after launch (2011), and two years after launch (2012) shown below.</w:t>
      </w:r>
    </w:p>
    <w:p>
      <w:r>
        <w:drawing>
          <wp:inline xmlns:a="http://schemas.openxmlformats.org/drawingml/2006/main" xmlns:pic="http://schemas.openxmlformats.org/drawingml/2006/picture">
            <wp:extent cx="5303520" cy="3425838"/>
            <wp:docPr id="3" name="mllp:chart_chattanooga_municipal_case|isp-monopolies-activity-studen|docx|chart-chattanooga-municipal-case|" title="mllp:chart_chattanooga_municipal_case|isp-monopolies-activity-studen|docx|chart-chattanooga-municipal-case|" descr="Bar chart showing the average monthly broadband price in Chattanooga TN before and after the city-owned EPB Fiber network launched in September 2010. In 2009 (one year before launch) the average price was $89 per month - a Comcast Xfinity local monopoly. In 2011 (one year after launch) the average dropped to $68 per month - Comcast cut prices to compete with EPB. By 2012 (two years after launch) the average reached $58 per month - a $31/month or 35 percent drop from the pre-launch monopoly price. Chattanooga is the most studied municipal broadband case in the U.S. and the central evidence cited in FCC policy debates over whether more cities should be allowed to build municipal networks."/>
            <wp:cNvGraphicFramePr>
              <a:graphicFrameLocks noChangeAspect="1"/>
            </wp:cNvGraphicFramePr>
            <a:graphic>
              <a:graphicData uri="http://schemas.openxmlformats.org/drawingml/2006/picture">
                <pic:pic>
                  <pic:nvPicPr>
                    <pic:cNvPr id="0" name="chart_chattanooga_municipal_case.png"/>
                    <pic:cNvPicPr/>
                  </pic:nvPicPr>
                  <pic:blipFill>
                    <a:blip r:embed="rId11"/>
                    <a:stretch>
                      <a:fillRect/>
                    </a:stretch>
                  </pic:blipFill>
                  <pic:spPr>
                    <a:xfrm>
                      <a:off x="0" y="0"/>
                      <a:ext cx="5303520" cy="3425838"/>
                    </a:xfrm>
                    <a:prstGeom prst="rect"/>
                  </pic:spPr>
                </pic:pic>
              </a:graphicData>
            </a:graphic>
          </wp:inline>
        </w:drawing>
      </w:r>
    </w:p>
    <w:p>
      <w:pPr>
        <w:spacing w:after="120"/>
      </w:pP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2026-06-11T12:18:41.161Z</dcterms:created>
  <dcterms:modified xsi:type="dcterms:W3CDTF">2026-06-11T12:18:41.161Z</dcterms:modified>
</cp:coreProperties>
</file>

<file path=docProps/custom.xml><?xml version="1.0" encoding="utf-8"?>
<Properties xmlns="http://schemas.openxmlformats.org/officeDocument/2006/custom-properties" xmlns:vt="http://schemas.openxmlformats.org/officeDocument/2006/docPropsVTypes"/>
</file>