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TOTEM POLES AND THE POTLATCH OF THE PACIFIC NORTHWEST</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US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study how the nations of the Pacific Northwest Coast kept an exact public record of rank, family, and history without an alphabet and without writing anything down.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ten terms, from crest and crest column to provenance and co-researcher, and apply five of them in writing.</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compare three kinds of record side by side - a carved crest column, a potlatch, and a printed government report - and explain what each one can and cannot show.</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read a passage from a United States government report printed in 1897 and answer sourcing, comprehension, and analysis questions on it.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finish by ruling in writing on a claim a museum wants to print: that a crest column and a potlatch together did the same job a deed and a courthouse do today.</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five-part activity packet.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WHAT THE 1897 PASSAGE ACTUALLY IS, AND WHO MADE IT. The passage students read in Activity Part 4 comes from Franz Boas, "The Social Organization and the Secret Societies of the Kwakiutl Indians," in the Report of the U.S. National Museum for 1895, printed by the Government Printing Office in 1897. Say this part out loud to the class: the title page of that report states that it is BASED ON PERSONAL OBSERVATIONS AND ON NOTES MADE BY MR. GEORGE HUNT. George Hunt was raised at Fort Rupert among the Kwakwaka'wakw and spoke Kwak'wala; his mother was Tlingit and his father was English. This is a collaborative ethnography with a named Indigenous co-researcher, not one outsider summarizing something he overheard. Do not let the lesson land as "the only record we have was written by a white man."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NAMING RULE, AND WHY THE OLD SPELLING APPEARS AT ALL. This toolkit says Kwakwaka'wakw, which is what the nation calls itself. The older spelling Kwakiutl survives only inside the verbatim title of the 1897 report and in the citation line under the Part 4 passage, because that is how the document is actually titled and students must be able to find it. Slide 3 gives students the naming rule once. Correct students who use the old spelling in their own writing.</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GEOGRAPHY, AND WHICH NATIONS EACH PASSAGE DESCRIBES. The Pacific Northwest Coast is one cultural region running from southeast Alaska through coastal British Columbia and Washington and on south into Oregon and northwestern California. The Part 4 passage is NOT all about one nation, and the toolkit says so. Its FIRST paragraph, from page 324, sits inside Boas's comparative account of the NORTHERN nations - Tlingit, Haida, Tsimshian and Nisga'a - and describes how a clan's crest is displayed. The three POTLATCH paragraphs, from pages 341, 342 and 343, describe the Kwakwaka'wakw, who are in BRITISH COLUMBIA. The two photographs in this deck are an Alaska Haida village and an Alaska Tlingit house-frontal column, so they genuinely show the kind of columns the first paragraph is about; say that to the class instead of warning them off a match that is real. Do not go the other way either: Boas and Hunt did not make either photograph, and the potlatch they recorded is Kwakwaka'wakw.</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PERIOD LANGUAGE. Boas writes "the Indian" and "the Indians" throughout the 1897 text. That is 1897 usage. It appears in this toolkit ONLY inside clearly marked excerpt and quotation text - on slide 12, and inside the Part 4 passage - and the Part 4 word help list tells students exactly that. The toolkit's own voice says Kwakwaka'wakw people, or Pacific Northwest Coast nations. Name this out loud on slide 12 before you read the quotation.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POTLATCH WAS OUTLAWED WHILE THIS RECORD WAS BEING MADE. Canada made the potlatch illegal in 1885 and the prohibition stayed in the Indian Act until 1951. Over the same decades, United States federal assimilation policy pressed Native families on the American side of the coast to give up ceremonies of this kind. That is documentary fact and it belongs in the lesson as a PROVENANCE point: the timing of Boas and Hunt's work is not an accident. Keep the tone factual and non-partisan. Say plainly that families kept holding potlatches and that the ceremony is practiced openly today; keep your verbs in the present tense.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MISCONCEPTION THIS LESSON EXISTS TO CORRECT. Boas himself writes that the custom "has been thoroughly misunderstood by most observers," and then states the correct principle: the interest-bearing investment of property. Note what he does NOT do - he never names a particular misreading, so do not tell students he called one out by name. The reading his principle rules out, and the one that survived in American textbooks for most of the twentieth century, is that a potlatch was wasteful destruction; some students will arrive holding it. Slide 7 is built around Boas's own correction and the Activity Part 4 passage prints it. Do not let the lesson repeat the misreading, even as a "some people used to think" aside that goes unanswered.</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Potlatch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ceremony at which a family gives away large amounts of property in front of witnesses in order to claim or confirm its position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Crest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figure such as a raven, bear, or whale that a clan has the right to display, and that shows which family a person belongs to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Crest column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tall carved cedar post, commonly called a totem pole, that displays a family's crests and can be raised to keep alive the memory of a relative who has died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Clan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group of families who trace descent from a common ancestor and who share the right to the same crests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Rank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person's standing in the community, which on this coast had to be claimed in public and paid for in property rather than simply inherited quietly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Blanket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unit of value Boas recorded on this coast: a single blanket was valued at 50 cents, and a double blanket was valued at three single blankets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Distribution of property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act of handing out goods to guests at a ceremony, which Boas described as an interest-bearing investment of property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Ethnography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written description of a people's customs, put together by someone who studies them and usually published long after the practices began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Provenance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record of who set a document down, when, and whose hands it passed through before it reached 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Co-researcher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person from inside the community who gathers and records information alongside an outside researcher, and whose notes become part of the published report</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question: how would you prove what grade you are in if your school wrote nothing down?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5-25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1-13 with Guided Notes Sections 3 to 13</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25-40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14-22 with Guided Notes Sections 14 to 21, then Activity Parts 1 and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40-50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Activity Parts 3 to 5 assigned for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30-55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to 3, working in pairs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55-80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primary source and Part 5 written ruling</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80-90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1-13 with Guided Notes Sections 3 to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25-30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started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0-15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14-22 with Guided Notes Sections 14 to 21</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15-30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2 to 5, then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both are designed to be handed out and used with no preparation.</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two photograph slides display before class; they carry no text students need to copy.</w:t>
      </w:r>
    </w:p>
    <w:p>
      <w:pPr>
        <w:spacing w:line="288" w:lineRule="auto"/>
        <w:jc w:val="left"/>
      </w:pPr>
      <w:r>
        <w:rPr>
          <w:rFonts w:ascii="Arial" w:cs="Arial" w:eastAsia="Arial" w:hAnsi="Arial"/>
          <w:b w:val="false"/>
          <w:bCs w:val="false"/>
          <w:i w:val="false"/>
          <w:iCs w:val="false"/>
          <w:color w:val="333333"/>
          <w:sz w:val="22"/>
          <w:szCs w:val="22"/>
        </w:rPr>
        <w:t xml:space="preserve">3. Decide before the period whether the quiz runs on paper or through the Google Form so students know how they will submit.</w:t>
      </w:r>
    </w:p>
    <w:p>
      <w:pPr>
        <w:spacing w:line="288" w:lineRule="auto"/>
        <w:jc w:val="left"/>
      </w:pPr>
      <w:r>
        <w:rPr>
          <w:rFonts w:ascii="Arial" w:cs="Arial" w:eastAsia="Arial" w:hAnsi="Arial"/>
          <w:b w:val="false"/>
          <w:bCs w:val="false"/>
          <w:i w:val="false"/>
          <w:iCs w:val="false"/>
          <w:color w:val="333333"/>
          <w:sz w:val="22"/>
          <w:szCs w:val="22"/>
        </w:rPr>
        <w:t xml:space="preserve">4. Have the Teacher Presentation Notes open on a second screen or printed; each slide carries three to five talking points, and slide 12 carries the ones you need before the 1897 quotation goes up.</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a crest column, commonly called a totem pole, display?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crests that a clan owns the right to show</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Franz Boas, what is the underlying principle of the potlatch?</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interest-bearing investment of property</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This lesson names one long-standing misreading of the potlatch that Boas's stated principle, the interest-bearing investment of property, rules out. Which misreading is it?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That the potlatch was a form of wasteful destruction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Boas record as the unit of value on this coast?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 single blanket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Boas, how did a child obtain its second name?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 relative gave a paddle or a mat to each member of the clan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Boas describes a gift given at a distribution of property as which of the following?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An interest-bearing loan that must be refunded later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Whose notes does the title page of the 1897 report credit the account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George Hunt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George Hunt is accurate?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He was raised at Fort Rupert among the Kwakwaka'wakw and spoke Kwak'wala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kind of publication is the 1897 account of the potlatch?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 report of the U.S. National Museum printed by the Government Printing Office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Among which nation did Boas and Hunt record the potlatch described in this lesson?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Among the Kwakwaka'wakw in British Columbia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During which years was the potlatch illegal in Canada?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1885 to 1951</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can a crest column NOT settle on its own?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year it was carved, unless somebody wrote that down</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a potlatch buy a family?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 public claim to rank that witnesses were bound to remember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a crest column display?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crests a clan owns the right to show</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kind of document is the 1897 account of the potlatch?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 United States government report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four to six sentences, explain how Pacific Northwest Coast families kept an exact record of rank without writing anything down. Name BOTH halves of the system that did that work, explain why the record held, use at least two specific details from today's lesson, and name one thing these records cannot settle.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Any answer that (a) names BOTH halves of the system - the carved crest column that displays the crests a clan owns the right to show, and the potlatch that claims or confirms rank by distributing property in front of witnesses - (b) explains why the record held, namely that a guest could not refuse the gift and owed a refund later with interest, so every guest had a reason to remember exactly what was claimed, (c) cites two or more accurate details from the lesson, such as the single blanket valued at 50 cents as the unit of value, the double blanket valued at three singles, or a child receiving its second name after a relative gave a paddle or a mat to each member of the clan, and (d) names a genuine limit, such as the year a column was carved, what was said once the last witness has died, or how the potlatch worked in nations other than the Kwakwaka'wakw, and (e) answers in four to six complete sentences. Accept "with interest", "at 100 per cent interest" and "the guests owed the host back" as the same idea in part (b), and do not require the figure; the figure is on slide 13 but the mechanism is what is being graded. PARTIAL CREDIT: names only one half of the system, cites only one accurate detail, or names a limit these records in fact do answer, such as which crests a family claimed - the student did the task and picked a weak limit, so mark it partial rather than wrong. NO CREDIT: treats a coast without writing as simply having no records, presents the potlatch as nothing but wasteful destruction, or rests on no specific detail from the lesson at all. A student who mentions that property was sometimes destroyed in a rivalry has NOT made that error, so long as the answer still explains that the ceremony bought a claim to rank; mark that answer on its merits. Do not accept "they remembered it" on its own - the point is that the debt and the witnesses kept the memory accurate, not that people had good memories. Every detail listed here is on the slides and in the Guided Notes, so the quick write is answerable even when the Exit Ticket runs before Activity Part 4.</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terms filled in correctly (accept "totem pole" for the crest column row)</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All 5 fill-ins correct and in context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Comparison grid completed for all three records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sourcing, comprehension, and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Ruling defended with three details, each sourced and labeled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Correct the two misconceptions before students bring them out, because both are load-bearing. A totem pole is not decoration and not a religious idol; it is a crest column that displays the crests a clan owns the right to display. A potlatch was not wasteful destruction; Boas himself says on page 341 that the custom "has been thoroughly misunderstood by most observers" and names the principle as the interest-bearing investment of property. Slides 4 and 7 do this work and quiz questions 1, 2, and 3 grade it. One caution when you say the second one out loud: Boas never names the wasteful-destruction misreading himself. He writes only that the custom has been thoroughly misunderstood, and then states the correct principle, so do not tell students he called that particular reading out by name.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one mechanism students most often miss is why the record HELD. Ask the class point blank: what stops somebody from throwing a big party and then claiming a rank nobody agreed to? The answer is on slide 13 in Boas's own words. A guest is "not at liberty to refuse the gift," the gift is "nothing but an interest-bearing loan" that "must be refunded at some future time with 100 per cent interest," and so every guest has a standing financial reason to remember exactly what was claimed. Walk that chain out loud before students touch Activity Part 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Students stall on the Part 4 passage because of sentence length, not because of ideas. Have them read the word help list aloud first, then read the passage twice. Tell them before they start that the first paragraph is about crests and comes from page 324, where Boas is describing the northern nations of the coast, and that the three paragraphs after it are about the potlatch among the Kwakwaka'wakw and come from pages 341, 342 and 343, in that order. Note also that the word help list glosses the 1897 vocabulary only; it deliberately does not define the ten Reference Guide terms, so it cannot hand a student a Part 1 answer. The mark [ . . . ] between paragraphs means words were left out; it does not mean the paragraphs were rearranged.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Slide 12 needs a decision from you before class, not during it. The quotation carries "the Indians," which is Boas's 1897 wording, and it also carries an inner quotation - "rivals fight with property only" - that Boas is reporting from speakers themselves. Name both out loud: say that the period wording belongs to 1897 and not to this class, and point out that the inner quotation marks are the closest the passage comes to a Kwakwaka'wakw voice. The period wording appears in this toolkit only inside marked quotation and excerpt text.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Grade Part 5 against the five requirements the student actually sees in print: a decision, three cited details, a named source for each, a carved / witnessed / written-down-later label on each, and one thing that would have to exist for the claim to be settled. Do not add or drop a requirement at the marking stage, and do not grade which of the three labels the student chose for the museum's sentence - a defended FINDING and a defended GUESS both earn full credit. One design note worth knowing before you mark: the five items in Part 2 deliberately draw only on the five Reference Guide terms that are NOT blanked in Part 1, so Part 2 can never hand a student a Part 1 answer. Two rulings you will need at the marking stage. In Part 1, the crest column definition prints the everyday synonym, so some students will write TOTEM POLE in that blank row: mark it correct and write CREST COLUMN beside it, because the accurate term is the one the rest of the packet uses. In Part 3, accept any short phrase naming the family or clan that owns the crests as the maker of a column; the packet never teaches the word carver, so do not require it.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Write the Wall Label</w:t>
      </w:r>
    </w:p>
    <w:p>
      <w:pPr>
        <w:spacing w:line="336" w:lineRule="auto"/>
        <w:jc w:val="left"/>
      </w:pPr>
      <w:r>
        <w:rPr>
          <w:rFonts w:ascii="Arial" w:cs="Arial" w:eastAsia="Arial" w:hAnsi="Arial"/>
          <w:b w:val="false"/>
          <w:bCs w:val="false"/>
          <w:i w:val="false"/>
          <w:iCs w:val="false"/>
          <w:color w:val="333333"/>
          <w:sz w:val="22"/>
          <w:szCs w:val="22"/>
        </w:rPr>
        <w:t xml:space="preserve">Students write the single sentence a museum should print beside a photograph of a crest column, then write the footnote that has to go with it. The footnote must name every source the sentence rests on and say what each one is: something carved, something witnessed, or something written down later. They finish by naming one thing their sentence deliberately does not claim, and why.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Two Ledgers, One Rank</w:t>
      </w:r>
    </w:p>
    <w:p>
      <w:pPr>
        <w:spacing w:line="336" w:lineRule="auto"/>
        <w:jc w:val="left"/>
      </w:pPr>
      <w:r>
        <w:rPr>
          <w:rFonts w:ascii="Arial" w:cs="Arial" w:eastAsia="Arial" w:hAnsi="Arial"/>
          <w:b w:val="false"/>
          <w:bCs w:val="false"/>
          <w:i w:val="false"/>
          <w:iCs w:val="false"/>
          <w:color w:val="333333"/>
          <w:sz w:val="22"/>
          <w:szCs w:val="22"/>
        </w:rPr>
        <w:t xml:space="preserve">Using Boas's own figures - a single blanket worth 50 cents, a double blanket worth three singles - students draw up two facing ledgers for a rivalry: what one host distributes at a potlatch, and what the guests will owe back at 100 per cent interest. They then write one paragraph on what the second ledger does that a modern receipt does not, and what a modern receipt does that the second ledger does not.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What the Records Cannot Say</w:t>
      </w:r>
    </w:p>
    <w:p>
      <w:pPr>
        <w:spacing w:line="336" w:lineRule="auto"/>
        <w:jc w:val="left"/>
      </w:pPr>
      <w:r>
        <w:rPr>
          <w:rFonts w:ascii="Arial" w:cs="Arial" w:eastAsia="Arial" w:hAnsi="Arial"/>
          <w:b w:val="false"/>
          <w:bCs w:val="false"/>
          <w:i w:val="false"/>
          <w:iCs w:val="false"/>
          <w:color w:val="333333"/>
          <w:sz w:val="22"/>
          <w:szCs w:val="22"/>
        </w:rPr>
        <w:t xml:space="preserve">Students list five things they would want to know about a particular crest column, mark each one answerable or not answerable from the sources in this lesson, and write one sentence explaining every mark. They finish by naming the one record that would have had to survive to answer the hardest item on their list.</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If a claim is held by carving and by witnesses rather than by paper, is the record weaker than a written one, or only different?</w:t>
      </w:r>
    </w:p>
    <w:p>
      <w:pPr>
        <w:spacing w:after="80"/>
      </w:pPr>
    </w:p>
    <w:p>
      <w:pPr>
        <w:spacing w:line="336" w:lineRule="auto"/>
        <w:jc w:val="left"/>
      </w:pPr>
      <w:r>
        <w:rPr>
          <w:rFonts w:ascii="Arial" w:cs="Arial" w:eastAsia="Arial" w:hAnsi="Arial"/>
          <w:b/>
          <w:bCs/>
          <w:i w:val="false"/>
          <w:iCs w:val="false"/>
          <w:color w:val="333333"/>
          <w:sz w:val="22"/>
          <w:szCs w:val="22"/>
        </w:rPr>
        <w:t xml:space="preserve">2. Boas says most observers before him misunderstood the potlatch. What is it about giving property away that an outsider would be most likely to misread, and why?</w:t>
      </w:r>
    </w:p>
    <w:p>
      <w:pPr>
        <w:spacing w:after="80"/>
      </w:pPr>
    </w:p>
    <w:p>
      <w:pPr>
        <w:spacing w:line="336" w:lineRule="auto"/>
        <w:jc w:val="left"/>
      </w:pPr>
      <w:r>
        <w:rPr>
          <w:rFonts w:ascii="Arial" w:cs="Arial" w:eastAsia="Arial" w:hAnsi="Arial"/>
          <w:b/>
          <w:bCs/>
          <w:i w:val="false"/>
          <w:iCs w:val="false"/>
          <w:color w:val="333333"/>
          <w:sz w:val="22"/>
          <w:szCs w:val="22"/>
        </w:rPr>
        <w:t xml:space="preserve">3. Naming George Hunt changes what kind of document the 1897 report is. Does it make the report more reliable, less reliable, or reliable in a different way?</w:t>
      </w:r>
    </w:p>
    <w:p>
      <w:pPr>
        <w:spacing w:after="80"/>
      </w:pPr>
    </w:p>
    <w:p>
      <w:pPr>
        <w:spacing w:line="336" w:lineRule="auto"/>
        <w:jc w:val="left"/>
      </w:pPr>
      <w:r>
        <w:rPr>
          <w:rFonts w:ascii="Arial" w:cs="Arial" w:eastAsia="Arial" w:hAnsi="Arial"/>
          <w:b/>
          <w:bCs/>
          <w:i w:val="false"/>
          <w:iCs w:val="false"/>
          <w:color w:val="333333"/>
          <w:sz w:val="22"/>
          <w:szCs w:val="22"/>
        </w:rPr>
        <w:t xml:space="preserve">4. A system in which a gift cannot be refused costs the guests something and buys the community something. What is each?</w:t>
      </w:r>
    </w:p>
    <w:p>
      <w:pPr>
        <w:spacing w:after="80"/>
      </w:pPr>
    </w:p>
    <w:p>
      <w:pPr>
        <w:spacing w:line="336" w:lineRule="auto"/>
        <w:jc w:val="left"/>
      </w:pPr>
      <w:r>
        <w:rPr>
          <w:rFonts w:ascii="Arial" w:cs="Arial" w:eastAsia="Arial" w:hAnsi="Arial"/>
          <w:b/>
          <w:bCs/>
          <w:i w:val="false"/>
          <w:iCs w:val="false"/>
          <w:color w:val="333333"/>
          <w:sz w:val="22"/>
          <w:szCs w:val="22"/>
        </w:rPr>
        <w:t xml:space="preserve">5. Canada outlawed the potlatch in the same decades Boas and Hunt were writing it down. How should that fact change the way a historian reads their report?</w:t>
      </w:r>
    </w:p>
    <w:p>
      <w:pPr>
        <w:spacing w:after="80"/>
      </w:pP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Differentiation and Accommodations</w:t>
      </w:r>
    </w:p>
    <w:p>
      <w:pPr>
        <w:spacing w:line="336" w:lineRule="auto"/>
        <w:jc w:val="left"/>
      </w:pPr>
      <w:r>
        <w:rPr>
          <w:rFonts w:ascii="Arial" w:cs="Arial" w:eastAsia="Arial" w:hAnsi="Arial"/>
          <w:b w:val="false"/>
          <w:bCs w:val="false"/>
          <w:i w:val="false"/>
          <w:iCs w:val="false"/>
          <w:color w:val="333333"/>
          <w:sz w:val="22"/>
          <w:szCs w:val="22"/>
        </w:rPr>
        <w:t xml:space="preserve">The hardest text in this lesson is the 1897 passage in Activity Part 4, and the hardest thinking is the Part 5 ruling, which asks students to defend a decision AND label each cited detail as something carved, something witnessed, or something written down later. Scaffold the reading first; the historical thinking is reachable once the vocabulary is out of the way.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IEP / writing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Read the word help list on the page before the Part 4 passage aloud, then read the passage twice: once for what a crest column does, once for what a potlatch does. The passage is four short paragraphs and the second reading is where the second half lands.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the Part 5 ruling to be answered in bullet points against the five required elements rather than in continuous paragraphs. Score the elements, not the prose.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Pre-fill two of the five blanked Reference Guide terms in Part 1 so students pattern-match the remaining three from the Guided Notes instead of stalling on a blank page.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Let students fill the Part 3 comparison grid one column at a time rather than one row at a time; one record at a time is far less to hold in mind.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English Language Learners (ELL) supports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word help list on the page before the Part 4 passage glosses the 1897 vocabulary students genuinely cannot decode: ornamenting, perpetuate, deceased, acquiring, custom, underlying principle, interest-bearing investment, endeavor, fortune, festivals, vying, pitted against, exhorted, utmost, feats of bravery, formerly and nowadays, the period wording "the Indian(s)", and the cut mark. It deliberately does NOT define the ten Reference Guide terms; for those it points students back to their own Part 1 table, so the word help can never hand over a Part 1 answer. Point at the list explicitly before students start reading.</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Pair each of the ten Reference Guide terms with the slide that teaches it so students hear the term said aloud before they are asked to write it.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Say the naming rule once and write it on the board: Kwakwaka'wakw is what the nation calls itself, and Kwakiutl is an older spelling that survives in the title of the 1897 report.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Accept the Part 3 boxes in short phrases or in a home language first, then translate one row into English with a partner.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504 / processing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Extend time on Part 4 rather than shortening it. The paragraphs are short but the sentences are long, and the second reading is where the potlatch half becomes clear.</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Offer the Guided Notes teacher key as a checking tool after a student has attempted each section, so the notes stay usable as an Activity reference.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the Part 3 grid to be completed with the Guided Notes open on the desk; the grid is a synthesis task, not a memory test.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Tiered sentence starters and scaffolds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museum's sentence is a finding / a reasonable reading / a guess, because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One detail that supports my decision is . . ., which came from . . ., and it is something carved because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 second detail is . . ., which came from . . ., and it is something witnessed because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 third detail is . . ., which came from . . ., and it is something written down later because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For this sentence to be settled either way, somebody would have had to . . ..</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2026-08-18T05:17:43.387Z</dcterms:created>
  <dcterms:modified xsi:type="dcterms:W3CDTF">2026-08-18T05:17:43.387Z</dcterms:modified>
</cp:coreProperties>
</file>

<file path=docProps/custom.xml><?xml version="1.0" encoding="utf-8"?>
<Properties xmlns="http://schemas.openxmlformats.org/officeDocument/2006/custom-properties" xmlns:vt="http://schemas.openxmlformats.org/officeDocument/2006/docPropsVTypes"/>
</file>