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Trump Tariffs: A Case Study</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Did the 2018-2026 U.S. tariff strategy WORK - and given who actually paid (consumers) versus who was protected (a few states' manufacturers), should a Pennsylvania senator vote to extend the 100% Chinese EV and 50% solar tariffs through 2030?</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a POLICY ANALYST for Senator Marcus Reed, the U.S. Senator from Pennsylvania on the Senate Finance Committee. Next week the senator must vote on a bill to extend the 100% tariff on Chinese electric vehicles and the 50% tariff on Chinese solar panels through 2030.</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the Trump tariff strategy from 2018 through 2026, naming the key actions (Section 232, Section 301, EU steel, 2024-2025 expansion)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which industries the U.S. targeted and how China and the EU retaliated against U.S. exports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evidence on consumer cost vs jobs gained to decide whether the tariff strategy worked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Tariff Case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Tariff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Trace the Case - Tariff Actions, Retaliation, and Geography</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Charts - Escalation Timeline and Retail Price Increases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Vote Recommendation Memo to Senator Reed</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Tariff Case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trade barrier the 2018 Trump strategy placed on Chinese steel and aluminum, used as both protection and leverage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Section 232</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1962 national security trade law the Trump administration used in 2018 for the steel and aluminum tariffs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1974 unfair trade practices law used for the China tariff lists covering 360 billion of Chinese goods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Market Facilitation Program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Trump farm aid that paid U.S. soybean farmers for losses from Chinese retaliation, replacing the Brazil-lost market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share of the tariff that reached U.S. consumers as higher prices, found by the Federal Reserve and NBER to be 95 to 100 percent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 steel and aluminum dispute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2018 steel and aluminum tariffs on the EU that led the EU to retaliate against U.S. bourbon and Harley-Davidson motorcycles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Taxes China and the EU placed on U.S. soybeans, bourbon, and Harley-Davidson motorcycles in response to the Trump tariffs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Soybeans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crop China hit hardest in response to the 2018 Trump tariffs, after which Brazil became the substitute supplier and farmers got Market Facilitation Program aid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2020 China deal that paused escalation but kept most existing tariffs in place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Whirlpool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washer factory company that gained market share against Samsung and LG after the 2018 washer tariff</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Tariff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tariff</w:t>
      </w:r>
      <w:r>
        <w:rPr>
          <w:rFonts w:ascii="Arial" w:cs="Arial" w:eastAsia="Arial" w:hAnsi="Arial"/>
          <w:color w:val="555555"/>
          <w:sz w:val="21"/>
          <w:szCs w:val="21"/>
        </w:rPr>
        <w:t xml:space="preserve">   ·   </w:t>
      </w:r>
      <w:r>
        <w:rPr>
          <w:rFonts w:ascii="Arial" w:cs="Arial" w:eastAsia="Arial" w:hAnsi="Arial"/>
          <w:color w:val="1B2A4A"/>
          <w:sz w:val="21"/>
          <w:szCs w:val="21"/>
        </w:rPr>
        <w:t xml:space="preserve">retaliatory tariffs</w:t>
      </w:r>
      <w:r>
        <w:rPr>
          <w:rFonts w:ascii="Arial" w:cs="Arial" w:eastAsia="Arial" w:hAnsi="Arial"/>
          <w:color w:val="555555"/>
          <w:sz w:val="21"/>
          <w:szCs w:val="21"/>
        </w:rPr>
        <w:t xml:space="preserve">   ·   </w:t>
      </w:r>
      <w:r>
        <w:rPr>
          <w:rFonts w:ascii="Arial" w:cs="Arial" w:eastAsia="Arial" w:hAnsi="Arial"/>
          <w:color w:val="1B2A4A"/>
          <w:sz w:val="21"/>
          <w:szCs w:val="21"/>
        </w:rPr>
        <w:t xml:space="preserve">pass-through</w:t>
      </w:r>
      <w:r>
        <w:rPr>
          <w:rFonts w:ascii="Arial" w:cs="Arial" w:eastAsia="Arial" w:hAnsi="Arial"/>
          <w:color w:val="555555"/>
          <w:sz w:val="21"/>
          <w:szCs w:val="21"/>
        </w:rPr>
        <w:t xml:space="preserve">   ·   </w:t>
      </w:r>
      <w:r>
        <w:rPr>
          <w:rFonts w:ascii="Arial" w:cs="Arial" w:eastAsia="Arial" w:hAnsi="Arial"/>
          <w:color w:val="1B2A4A"/>
          <w:sz w:val="21"/>
          <w:szCs w:val="21"/>
        </w:rPr>
        <w:t xml:space="preserve">section 301</w:t>
      </w:r>
      <w:r>
        <w:rPr>
          <w:rFonts w:ascii="Arial" w:cs="Arial" w:eastAsia="Arial" w:hAnsi="Arial"/>
          <w:color w:val="555555"/>
          <w:sz w:val="21"/>
          <w:szCs w:val="21"/>
        </w:rPr>
        <w:t xml:space="preserve">   ·   </w:t>
      </w:r>
      <w:r>
        <w:rPr>
          <w:rFonts w:ascii="Arial" w:cs="Arial" w:eastAsia="Arial" w:hAnsi="Arial"/>
          <w:color w:val="1B2A4A"/>
          <w:sz w:val="21"/>
          <w:szCs w:val="21"/>
        </w:rPr>
        <w:t xml:space="preserve">phase one trade deal</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 trade barrier a government places on imported goods, used by the 2018 Trump strategy as both protection for U.S. industries and leverage on trading partners,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The 1974 U.S. trade law that authorizes tariffs against unfair foreign trade practices - the legal basis for the 2018-2019 China tariff lists -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share of a tariff that reaches U.S. consumers as higher retail prices - measured by the Federal Reserve and NBER at 95 to 100 percent -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When China and the EU taxed U.S. bourbon and motorcycles in direct response to U.S. tariffs, the taxes they imposed are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The January 2020 U.S.-China agreement that paused further escalation but kept most existing tariffs in place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Trace the Case - Tariff Actions, Retaliation, and Geography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Trace the THREE Trump tariff actions and ONE Biden tariff action that the case walks through. For each action name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U.S. trade law used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targeted product or country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rate. Use complete sentences.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Senator Reed's analyst, explain HOW China and the EU retaliated against the 2018 U.S. tariffs. Name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TWO specific U.S. exports China hit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TWO specific U.S. exports the EU hit, then explain in 2-3 sentences WHY each side picked those products.</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Use the TARIFF-PROTECTED INDUSTRIES BY STATE chart below.</w:t>
      </w:r>
    </w:p>
    <w:p>
      <w:pPr>
        <w:keepNext/>
        <w:keepLines/>
        <w:spacing w:after="80" w:line="288" w:lineRule="auto"/>
        <w:ind w:left="380"/>
      </w:pPr>
      <w:r>
        <w:rPr>
          <w:rFonts w:ascii="Arial" w:cs="Arial" w:eastAsia="Arial" w:hAnsi="Arial"/>
          <w:b/>
          <w:bCs/>
          <w:color w:val="1B2A4A"/>
          <w:sz w:val="22"/>
          <w:szCs w:val="22"/>
        </w:rPr>
        <w:t xml:space="preserve">Read directly off the chart: which TWO states have the LARGEST tariff-protected industry output, and roughly how many BILLIONS of dollars each? Then explain in 2-3 sentences why the GEOGRAPHIC concentration of protection matters for the politics of keeping the tariffs. (Chart: chart_tariff_industries_by_state)</w:t>
      </w:r>
    </w:p>
    <w:p>
      <w:r>
        <w:drawing>
          <wp:inline xmlns:a="http://schemas.openxmlformats.org/drawingml/2006/main" xmlns:pic="http://schemas.openxmlformats.org/drawingml/2006/picture">
            <wp:extent cx="5303520" cy="3823145"/>
            <wp:docPr id="3" name="mllp:chart_tariff_industries_by_state|trump-tariffs-case-study-activ|docx|chart-tariff-industries-by-state|" title="mllp:chart_tariff_industries_by_state|trump-tariffs-case-study-activ|docx|chart-tariff-industries-by-state|" descr="Horizontal bar chart of six U.S. states showing the dollar value of in-state industry output that was protected by the 2018-2025 U.S. tariffs (steel, aluminum, washing machines, solar panels, electric vehicles). Pennsylvania has about 19 billion dollars in protected steel and aluminum output (the highest, driven by Pittsburgh-area mills). Ohio has about 17 billion dollars in steel and auto output. Indiana has about 13 billion dollars in steel and EV-component output. Michigan has about 12 billion dollars in auto and EV output. Tennessee has about 8 billion dollars in solar-panel and EV-component output. Kentucky has about 6 billion dollars in steel-using and aluminum output. The chart shows the geographic concentration of tariff beneficiaries: a small number of mostly Midwest manufacturing states absorb most of the protection benefit, while consumer costs are spread across all 50 states."/>
            <wp:cNvGraphicFramePr>
              <a:graphicFrameLocks noChangeAspect="1"/>
            </wp:cNvGraphicFramePr>
            <a:graphic>
              <a:graphicData uri="http://schemas.openxmlformats.org/drawingml/2006/picture">
                <pic:pic>
                  <pic:nvPicPr>
                    <pic:cNvPr id="0" name="chart_tariff_industries_by_state.png"/>
                    <pic:cNvPicPr/>
                  </pic:nvPicPr>
                  <pic:blipFill>
                    <a:blip r:embed="rId11"/>
                    <a:stretch>
                      <a:fillRect/>
                    </a:stretch>
                  </pic:blipFill>
                  <pic:spPr>
                    <a:xfrm>
                      <a:off x="0" y="0"/>
                      <a:ext cx="5303520" cy="3823145"/>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Charts - Escalation Timeline and Retail Price Increases</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Use the U.S.-CHINA TARIFF ESCALATION TIMELINE chart below.</w:t>
      </w:r>
    </w:p>
    <w:p>
      <w:pPr>
        <w:keepNext/>
        <w:keepLines/>
        <w:spacing w:after="80" w:line="288" w:lineRule="auto"/>
        <w:ind w:left="380"/>
      </w:pPr>
      <w:r>
        <w:rPr>
          <w:rFonts w:ascii="Arial" w:cs="Arial" w:eastAsia="Arial" w:hAnsi="Arial"/>
          <w:b/>
          <w:bCs/>
          <w:color w:val="1B2A4A"/>
          <w:sz w:val="22"/>
          <w:szCs w:val="22"/>
        </w:rPr>
        <w:t xml:space="preserve">Read directly off the chart: roughly what was the AVERAGE U.S. tariff rate on Chinese goods in 2017, and roughly what was it in 2019? Use those two numbers to tell Senator Reed how big the 2018-2019 escalation was. (Chart: chart_us_china_tariff_escalation)</w:t>
      </w:r>
    </w:p>
    <w:p>
      <w:r>
        <w:drawing>
          <wp:inline xmlns:a="http://schemas.openxmlformats.org/drawingml/2006/main" xmlns:pic="http://schemas.openxmlformats.org/drawingml/2006/picture">
            <wp:extent cx="5303520" cy="3510781"/>
            <wp:docPr id="1" name="mllp:chart_us_china_tariff_escalation|trump-tariffs-case-study-activ|docx|chart-us-china-tariff-escalation|" title="mllp:chart_us_china_tariff_escalation|trump-tariffs-case-study-activ|docx|chart-us-china-tariff-escalation|" descr="Line chart of the average U.S. tariff rate on Chinese goods from 2018 through 2026 (with 2025-2026 projected). The rate starts near 3 percent in early 2018 (the long-running pre-Trump baseline) and rises in steps. After the 2018 Section 232 steel/aluminum tariffs and the Section 301 China Lists 1-3 take effect, the average rate climbs to about 12 percent by late 2018. After Section 301 List 4A in 2019, it reaches roughly 19 percent. The Phase One trade deal in early 2020 leaves the rate near 19 percent through 2023. In 2024 the Biden administration adds 100 percent tariffs on Chinese electric vehicles, 50 percent on solar panels, and 25 percent on EV batteries, raising the weighted average to roughly 23 percent. Projected 2026 rate is roughly 24-25 percent if all 2024-2025 expansions remain. The chart is the primary visual evidence of the tariff escalation discussed in the activity."/>
            <wp:cNvGraphicFramePr>
              <a:graphicFrameLocks noChangeAspect="1"/>
            </wp:cNvGraphicFramePr>
            <a:graphic>
              <a:graphicData uri="http://schemas.openxmlformats.org/drawingml/2006/picture">
                <pic:pic>
                  <pic:nvPicPr>
                    <pic:cNvPr id="0" name="chart_us_china_tariff_escalation.png"/>
                    <pic:cNvPicPr/>
                  </pic:nvPicPr>
                  <pic:blipFill>
                    <a:blip r:embed="rId9"/>
                    <a:stretch>
                      <a:fillRect/>
                    </a:stretch>
                  </pic:blipFill>
                  <pic:spPr>
                    <a:xfrm>
                      <a:off x="0" y="0"/>
                      <a:ext cx="5303520" cy="3510781"/>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Use the same escalation chart.</w:t>
      </w:r>
    </w:p>
    <w:p>
      <w:pPr>
        <w:keepNext/>
        <w:keepLines/>
        <w:spacing w:after="80" w:line="288" w:lineRule="auto"/>
        <w:ind w:left="380"/>
      </w:pPr>
      <w:r>
        <w:rPr>
          <w:rFonts w:ascii="Arial" w:cs="Arial" w:eastAsia="Arial" w:hAnsi="Arial"/>
          <w:b/>
          <w:bCs/>
          <w:color w:val="1B2A4A"/>
          <w:sz w:val="22"/>
          <w:szCs w:val="22"/>
        </w:rPr>
        <w:t xml:space="preserve">By 2024-2026 the average U.S. tariff rate on Chinese goods rises again to roughly what percent? Name TWO specific 2024 Biden tariff actions that explain that increase.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the RETAIL PRICE INCREASES BY CATEGORY chart below. The senator wants concrete consumer-cost numbers for his speech. Read off the chart the approximate PERCENTAGE each price rose after the relevant tariff:</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WASHING MACHINES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CONSUMER ELECTRONICS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SOLAR PANELS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CHINESE EVs. (Chart: chart_retail_price_increases_by_category)</w:t>
      </w:r>
    </w:p>
    <w:p>
      <w:r>
        <w:drawing>
          <wp:inline xmlns:a="http://schemas.openxmlformats.org/drawingml/2006/main" xmlns:pic="http://schemas.openxmlformats.org/drawingml/2006/picture">
            <wp:extent cx="5303520" cy="2874480"/>
            <wp:docPr id="2" name="mllp:chart_retail_price_increases_by_category|trump-tariffs-case-study-activ|docx|chart-retail-price-increases-by-category|" title="mllp:chart_retail_price_increases_by_category|trump-tariffs-case-study-activ|docx|chart-retail-price-increases-by-category|" descr="Bar chart showing the percentage increase in U.S. retail prices for five product categories caused by the 2018-2025 tariffs. Washing machines rose by about 12 percent after the 2018 Section 201 tariff. Consumer electronics (smartphones, laptops) rose by about 4 percent under the 2019 Section 301 List 4A 7.5 percent tariff. Steel-using products (canned food, autos, appliances) rose by about 2 percent on average from the 2018 25 percent steel tariff passing through. Solar panel installations rose by about 25 percent after the 2024 50 percent tariff. Chinese-made electric vehicles effectively doubled in U.S. retail price after the 2024 100 percent tariff (shown as 100 percent increase, though many models are no longer competitive at all). The chart is the activity evidence for the consumer-cost side of the case study."/>
            <wp:cNvGraphicFramePr>
              <a:graphicFrameLocks noChangeAspect="1"/>
            </wp:cNvGraphicFramePr>
            <a:graphic>
              <a:graphicData uri="http://schemas.openxmlformats.org/drawingml/2006/picture">
                <pic:pic>
                  <pic:nvPicPr>
                    <pic:cNvPr id="0" name="chart_retail_price_increases_by_category.png"/>
                    <pic:cNvPicPr/>
                  </pic:nvPicPr>
                  <pic:blipFill>
                    <a:blip r:embed="rId10"/>
                    <a:stretch>
                      <a:fillRect/>
                    </a:stretch>
                  </pic:blipFill>
                  <pic:spPr>
                    <a:xfrm>
                      <a:off x="0" y="0"/>
                      <a:ext cx="5303520" cy="2874480"/>
                    </a:xfrm>
                    <a:prstGeom prst="rect"/>
                  </pic:spPr>
                </pic:pic>
              </a:graphicData>
            </a:graphic>
          </wp:inline>
        </w:drawing>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Use the same retail-price chart.</w:t>
      </w:r>
    </w:p>
    <w:p>
      <w:pPr>
        <w:keepNext/>
        <w:keepLines/>
        <w:spacing w:after="80" w:line="288" w:lineRule="auto"/>
        <w:ind w:left="380"/>
      </w:pPr>
      <w:r>
        <w:rPr>
          <w:rFonts w:ascii="Arial" w:cs="Arial" w:eastAsia="Arial" w:hAnsi="Arial"/>
          <w:b/>
          <w:bCs/>
          <w:color w:val="1B2A4A"/>
          <w:sz w:val="22"/>
          <w:szCs w:val="22"/>
        </w:rPr>
        <w:t xml:space="preserve">Which product category saw the SMALLEST tariff-driven retail price increase, and what does that tell you about how much pass-through varies across products? In 2-3 sentences, explain what factors might cause LOWER pass-through.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Vote Recommendation Memo to Senator Reed</w:t>
      </w:r>
    </w:p>
    <w:p>
      <w:pPr>
        <w:keepNext/>
        <w:keepLines/>
        <w:spacing w:after="40"/>
      </w:pPr>
      <w:r>
        <w:rPr>
          <w:rFonts w:ascii="Trebuchet MS" w:cs="Trebuchet MS" w:eastAsia="Trebuchet MS" w:hAnsi="Trebuchet MS"/>
          <w:b/>
          <w:bCs/>
          <w:color w:val="B84D38"/>
          <w:spacing w:val="12"/>
          <w:sz w:val="17"/>
          <w:szCs w:val="17"/>
        </w:rPr>
        <w:t xml:space="preserve">VOTE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VOTE RECOMMENDATION MEMO. Write a 6-8 sentence memo (about 200-300 words) to Senator Reed telling him HOW to vote next week on extending the 100% Chinese EV tariff and the 50% Chinese solar tariff through 2030. Use the memo header below and check off each required element as you include it. (Sentence starters you can use: "Senator, the data support a ___ vote because..." and "The strongest argument on the other side is...")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VOTE - a clear YES or NO recommendation on extending the 100% Chinese EV and 50% solar tariffs through 2030.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CONSUMER-COST NUMBER - cite one specific consumer-cost figure from the lesson or the charts (for example a per-household yearly cost, a total annual U.S. cost, a retail price increase you read off the chart, a pass-through rate, or the average tariff rate from the escalation chart).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PROTECTION NUMBER - cite one specific protected-jobs or protected-state figure (for example total U.S. jobs protected, a steel-jobs number, or a protected-output dollar figure you read off the industries-by-state chart).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COUNTER-ARGUMENT - one realistic argument the senator's chief of staff might raise FOR keeping or expanding the tariffs (national security, protecting domestic jobs, or leverage on China).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HOME-STATE TRADE-OFF - reference Pennsylvania's split position: steel and aluminum workers who GAIN from protection AND agricultural exporters who were HURT by China's retaliation.</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Senator Marcus Reed (PA), Senate Finance Committee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Policy Analyst, Office of Senator Reed</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Vote Recommendation - Extending the 100% Chinese EV and 50% Solar Tariffs Through 2030</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2026-06-11T06:10:09.801Z</dcterms:created>
  <dcterms:modified xsi:type="dcterms:W3CDTF">2026-06-11T06:10:09.801Z</dcterms:modified>
</cp:coreProperties>
</file>

<file path=docProps/custom.xml><?xml version="1.0" encoding="utf-8"?>
<Properties xmlns="http://schemas.openxmlformats.org/officeDocument/2006/custom-properties" xmlns:vt="http://schemas.openxmlformats.org/officeDocument/2006/docPropsVTypes"/>
</file>