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E8735A" w:sz="12"/>
              <w:left w:val="none"/>
              <w:bottom w:val="single" w:color="E8735A" w:sz="8"/>
              <w:right w:val="none"/>
            </w:tcBorders>
            <w:shd w:fill="1B2A4A" w:val="clear"/>
            <w:tcMar>
              <w:top w:type="dxa" w:w="160"/>
              <w:left w:type="dxa" w:w="120"/>
              <w:bottom w:type="dxa" w:w="120"/>
              <w:right w:type="dxa" w:w="120"/>
            </w:tcMar>
          </w:tcPr>
          <w:p>
            <w:pPr>
              <w:spacing w:after="40"/>
              <w:jc w:val="left"/>
            </w:pPr>
            <w:r>
              <w:rPr>
                <w:rFonts w:ascii="Trebuchet MS" w:cs="Trebuchet MS" w:eastAsia="Trebuchet MS" w:hAnsi="Trebuchet MS"/>
                <w:color w:val="FFFFFF"/>
                <w:spacing w:val="30"/>
                <w:sz w:val="18"/>
                <w:szCs w:val="18"/>
              </w:rPr>
              <w:t xml:space="preserve">WORLD HISTORY</w:t>
            </w:r>
          </w:p>
          <w:p>
            <w:pPr>
              <w:pStyle w:val="Heading1"/>
              <w:spacing w:after="40"/>
              <w:jc w:val="center"/>
            </w:pPr>
            <w:r>
              <w:rPr>
                <w:rFonts w:ascii="Trebuchet MS" w:cs="Trebuchet MS" w:eastAsia="Trebuchet MS" w:hAnsi="Trebuchet MS"/>
                <w:b/>
                <w:bCs/>
                <w:color w:val="FFFFFF"/>
                <w:spacing w:val="15"/>
                <w:sz w:val="40"/>
                <w:szCs w:val="40"/>
              </w:rPr>
              <w:t xml:space="preserve">THE ST. BARTHOLOMEW'S DAY MASSACRE</w:t>
            </w:r>
          </w:p>
          <w:p>
            <w:pPr>
              <w:jc w:val="left"/>
            </w:pPr>
            <w:r>
              <w:rPr>
                <w:rFonts w:ascii="Trebuchet MS" w:cs="Trebuchet MS" w:eastAsia="Trebuchet MS" w:hAnsi="Trebuchet MS"/>
                <w:b/>
                <w:bCs/>
                <w:color w:val="1B2A4A"/>
                <w:sz w:val="18"/>
                <w:szCs w:val="18"/>
                <w:shd w:fill="E8735A" w:val="clear"/>
              </w:rPr>
              <w:t xml:space="preserve"> ANSWER KEY </w:t>
            </w:r>
            <w:r>
              <w:t xml:space="preserve">  </w:t>
            </w:r>
            <w:r>
              <w:rPr>
                <w:rFonts w:ascii="Trebuchet MS" w:cs="Trebuchet MS" w:eastAsia="Trebuchet MS" w:hAnsi="Trebuchet MS"/>
                <w:color w:val="FFFFFF"/>
                <w:spacing w:val="10"/>
                <w:sz w:val="20"/>
                <w:szCs w:val="20"/>
              </w:rPr>
              <w:t xml:space="preserve">EXIT TICKET - ANSWER KEY</w:t>
            </w:r>
          </w:p>
        </w:tc>
      </w:tr>
    </w:tbl>
    <w:p>
      <w:pPr>
        <w:spacing w:after="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80"/>
        <w:gridCol w:w="8880"/>
      </w:tblGrid>
      <w:tr>
        <w:trPr>
          <w:cantSplit/>
        </w:trPr>
        <w:tc>
          <w:tcPr>
            <w:tcW w:type="dxa" w:w="480"/>
            <w:tcBorders>
              <w:top w:val="none"/>
              <w:left w:val="none"/>
              <w:bottom w:val="none"/>
              <w:right w:val="none"/>
            </w:tcBorders>
            <w:shd w:fill="145F58" w:val="clear"/>
            <w:tcMar>
              <w:top w:type="dxa" w:w="40"/>
              <w:left w:type="dxa" w:w="0"/>
              <w:bottom w:type="dxa" w:w="40"/>
              <w:right w:type="dxa" w:w="0"/>
            </w:tcMar>
            <w:vAlign w:val="center"/>
          </w:tcPr>
          <w:p>
            <w:pPr>
              <w:jc w:val="center"/>
            </w:pPr>
            <w:r>
              <w:rPr>
                <w:rFonts w:ascii="Trebuchet MS" w:cs="Trebuchet MS" w:eastAsia="Trebuchet MS" w:hAnsi="Trebuchet MS"/>
                <w:b/>
                <w:bCs/>
                <w:color w:val="FFFFFF"/>
                <w:sz w:val="22"/>
                <w:szCs w:val="22"/>
              </w:rPr>
              <w:t xml:space="preserve">1.</w:t>
            </w:r>
          </w:p>
        </w:tc>
        <w:tc>
          <w:tcPr>
            <w:tcW w:type="dxa" w:w="8880"/>
            <w:tcBorders>
              <w:top w:val="none"/>
              <w:left w:val="none"/>
              <w:bottom w:val="none"/>
              <w:right w:val="none"/>
            </w:tcBorders>
            <w:tcMar>
              <w:top w:type="dxa" w:w="40"/>
              <w:left w:type="dxa" w:w="120"/>
              <w:bottom w:type="dxa" w:w="40"/>
              <w:right w:type="dxa" w:w="80"/>
            </w:tcMar>
            <w:vAlign w:val="center"/>
          </w:tcPr>
          <w:p>
            <w:pPr>
              <w:keepNext/>
              <w:keepLines/>
              <w:spacing w:after="0" w:line="288" w:lineRule="auto"/>
            </w:pPr>
            <w:r>
              <w:rPr>
                <w:rFonts w:ascii="Arial" w:cs="Arial" w:eastAsia="Arial" w:hAnsi="Arial"/>
                <w:b/>
                <w:bCs/>
                <w:color w:val="1B2A4A"/>
                <w:sz w:val="22"/>
                <w:szCs w:val="22"/>
              </w:rPr>
              <w:t xml:space="preserve">What KIND of historical source is Marguerite de Valois's account of the massacre?</w:t>
            </w:r>
          </w:p>
        </w:tc>
      </w:tr>
    </w:tbl>
    <w:p>
      <w:pPr>
        <w:keepNext/>
        <w:spacing w:after="4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rPr>
          <w:cantSplit/>
          <w:trHeight w:val="300" w:hRule="atLeast"/>
        </w:trPr>
        <w:tc>
          <w:tcPr>
            <w:tcW w:type="dxa" w:w="4680"/>
            <w:tcBorders>
              <w:top w:val="none"/>
              <w:left w:val="single" w:color="2A9D8F" w:sz="6"/>
              <w:bottom w:val="none"/>
              <w:right w:val="none"/>
            </w:tcBorders>
            <w:shd w:fill="E8F5F3"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A. </w:t>
            </w:r>
            <w:r>
              <w:rPr>
                <w:rFonts w:ascii="Arial" w:cs="Arial" w:eastAsia="Arial" w:hAnsi="Arial"/>
                <w:b/>
                <w:bCs/>
                <w:i/>
                <w:iCs/>
                <w:color w:val="145F58"/>
                <w:sz w:val="22"/>
                <w:szCs w:val="22"/>
              </w:rPr>
              <w:t xml:space="preserve">A firsthand eyewitness memoir, read in a public-domain 1845 translation ✓</w:t>
            </w:r>
          </w:p>
        </w:tc>
        <w:tc>
          <w:tcPr>
            <w:tcW w:type="dxa" w:w="4680"/>
            <w:tcBorders>
              <w:top w:val="none"/>
              <w:left w:val="single" w:color="2A9D8F"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B. </w:t>
            </w:r>
            <w:r>
              <w:rPr>
                <w:rFonts w:ascii="Arial" w:cs="Arial" w:eastAsia="Arial" w:hAnsi="Arial"/>
                <w:b w:val="false"/>
                <w:bCs w:val="false"/>
                <w:color w:val="1B2A4A"/>
                <w:sz w:val="22"/>
                <w:szCs w:val="22"/>
              </w:rPr>
              <w:t xml:space="preserve">An official government census of the dead</w:t>
            </w:r>
          </w:p>
        </w:tc>
      </w:tr>
      <w:tr>
        <w:trPr>
          <w:cantSplit/>
          <w:trHeight w:val="60" w:hRule="exact"/>
        </w:trPr>
        <w:tc>
          <w:tcPr>
            <w:tcW w:type="dxa" w:w="4680"/>
            <w:tcBorders>
              <w:top w:val="none"/>
              <w:left w:val="none"/>
              <w:bottom w:val="none"/>
              <w:right w:val="none"/>
            </w:tcBorders>
          </w:tcPr>
          <w:p>
            <w:pPr>
              <w:spacing w:after="0" w:before="0"/>
            </w:pPr>
          </w:p>
        </w:tc>
        <w:tc>
          <w:tcPr>
            <w:tcW w:type="dxa" w:w="4680"/>
            <w:tcBorders>
              <w:top w:val="none"/>
              <w:left w:val="none"/>
              <w:bottom w:val="none"/>
              <w:right w:val="none"/>
            </w:tcBorders>
          </w:tcPr>
          <w:p>
            <w:pPr>
              <w:spacing w:after="0" w:before="0"/>
            </w:pPr>
          </w:p>
        </w:tc>
      </w:tr>
      <w:tr>
        <w:trPr>
          <w:cantSplit/>
          <w:trHeight w:val="300" w:hRule="atLeast"/>
        </w:trPr>
        <w:tc>
          <w:tcPr>
            <w:tcW w:type="dxa" w:w="4680"/>
            <w:tcBorders>
              <w:top w:val="none"/>
              <w:left w:val="single" w:color="E8735A"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C. </w:t>
            </w:r>
            <w:r>
              <w:rPr>
                <w:rFonts w:ascii="Arial" w:cs="Arial" w:eastAsia="Arial" w:hAnsi="Arial"/>
                <w:b w:val="false"/>
                <w:bCs w:val="false"/>
                <w:color w:val="1B2A4A"/>
                <w:sz w:val="22"/>
                <w:szCs w:val="22"/>
              </w:rPr>
              <w:t xml:space="preserve">A modern newspaper article about the 1500s</w:t>
            </w:r>
          </w:p>
        </w:tc>
        <w:tc>
          <w:tcPr>
            <w:tcW w:type="dxa" w:w="4680"/>
            <w:tcBorders>
              <w:top w:val="none"/>
              <w:left w:val="single" w:color="E8735A"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D. </w:t>
            </w:r>
            <w:r>
              <w:rPr>
                <w:rFonts w:ascii="Arial" w:cs="Arial" w:eastAsia="Arial" w:hAnsi="Arial"/>
                <w:b w:val="false"/>
                <w:bCs w:val="false"/>
                <w:color w:val="1B2A4A"/>
                <w:sz w:val="22"/>
                <w:szCs w:val="22"/>
              </w:rPr>
              <w:t xml:space="preserve">A fictional short story with invented characters</w:t>
            </w:r>
          </w:p>
        </w:tc>
      </w:tr>
    </w:tbl>
    <w:p>
      <w:pPr>
        <w:spacing w:after="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80"/>
        <w:gridCol w:w="8880"/>
      </w:tblGrid>
      <w:tr>
        <w:trPr>
          <w:cantSplit/>
        </w:trPr>
        <w:tc>
          <w:tcPr>
            <w:tcW w:type="dxa" w:w="480"/>
            <w:tcBorders>
              <w:top w:val="none"/>
              <w:left w:val="none"/>
              <w:bottom w:val="none"/>
              <w:right w:val="none"/>
            </w:tcBorders>
            <w:shd w:fill="145F58" w:val="clear"/>
            <w:tcMar>
              <w:top w:type="dxa" w:w="40"/>
              <w:left w:type="dxa" w:w="0"/>
              <w:bottom w:type="dxa" w:w="40"/>
              <w:right w:type="dxa" w:w="0"/>
            </w:tcMar>
            <w:vAlign w:val="center"/>
          </w:tcPr>
          <w:p>
            <w:pPr>
              <w:jc w:val="center"/>
            </w:pPr>
            <w:r>
              <w:rPr>
                <w:rFonts w:ascii="Trebuchet MS" w:cs="Trebuchet MS" w:eastAsia="Trebuchet MS" w:hAnsi="Trebuchet MS"/>
                <w:b/>
                <w:bCs/>
                <w:color w:val="FFFFFF"/>
                <w:sz w:val="22"/>
                <w:szCs w:val="22"/>
              </w:rPr>
              <w:t xml:space="preserve">2.</w:t>
            </w:r>
          </w:p>
        </w:tc>
        <w:tc>
          <w:tcPr>
            <w:tcW w:type="dxa" w:w="8880"/>
            <w:tcBorders>
              <w:top w:val="none"/>
              <w:left w:val="none"/>
              <w:bottom w:val="none"/>
              <w:right w:val="none"/>
            </w:tcBorders>
            <w:tcMar>
              <w:top w:type="dxa" w:w="40"/>
              <w:left w:type="dxa" w:w="120"/>
              <w:bottom w:type="dxa" w:w="40"/>
              <w:right w:type="dxa" w:w="80"/>
            </w:tcMar>
            <w:vAlign w:val="center"/>
          </w:tcPr>
          <w:p>
            <w:pPr>
              <w:keepNext/>
              <w:keepLines/>
              <w:spacing w:after="0" w:line="288" w:lineRule="auto"/>
            </w:pPr>
            <w:r>
              <w:rPr>
                <w:rFonts w:ascii="Arial" w:cs="Arial" w:eastAsia="Arial" w:hAnsi="Arial"/>
                <w:b/>
                <w:bCs/>
                <w:color w:val="1B2A4A"/>
                <w:sz w:val="22"/>
                <w:szCs w:val="22"/>
              </w:rPr>
              <w:t xml:space="preserve">What was a major consequence of the St. Bartholomew's Day Massacre?</w:t>
            </w:r>
          </w:p>
        </w:tc>
      </w:tr>
    </w:tbl>
    <w:p>
      <w:pPr>
        <w:keepNext/>
        <w:spacing w:after="4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rPr>
          <w:cantSplit/>
          <w:trHeight w:val="300" w:hRule="atLeast"/>
        </w:trPr>
        <w:tc>
          <w:tcPr>
            <w:tcW w:type="dxa" w:w="4680"/>
            <w:tcBorders>
              <w:top w:val="none"/>
              <w:left w:val="single" w:color="2A9D8F"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A. </w:t>
            </w:r>
            <w:r>
              <w:rPr>
                <w:rFonts w:ascii="Arial" w:cs="Arial" w:eastAsia="Arial" w:hAnsi="Arial"/>
                <w:b w:val="false"/>
                <w:bCs w:val="false"/>
                <w:color w:val="1B2A4A"/>
                <w:sz w:val="22"/>
                <w:szCs w:val="22"/>
              </w:rPr>
              <w:t xml:space="preserve">It permanently reunited Catholics and Protestants</w:t>
            </w:r>
          </w:p>
        </w:tc>
        <w:tc>
          <w:tcPr>
            <w:tcW w:type="dxa" w:w="4680"/>
            <w:tcBorders>
              <w:top w:val="none"/>
              <w:left w:val="single" w:color="2A9D8F" w:sz="6"/>
              <w:bottom w:val="none"/>
              <w:right w:val="none"/>
            </w:tcBorders>
            <w:shd w:fill="E8F5F3"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B. </w:t>
            </w:r>
            <w:r>
              <w:rPr>
                <w:rFonts w:ascii="Arial" w:cs="Arial" w:eastAsia="Arial" w:hAnsi="Arial"/>
                <w:b/>
                <w:bCs/>
                <w:i/>
                <w:iCs/>
                <w:color w:val="145F58"/>
                <w:sz w:val="22"/>
                <w:szCs w:val="22"/>
              </w:rPr>
              <w:t xml:space="preserve">It deepened France's religious division and the Wars of Religion resumed ✓</w:t>
            </w:r>
          </w:p>
        </w:tc>
      </w:tr>
      <w:tr>
        <w:trPr>
          <w:cantSplit/>
          <w:trHeight w:val="60" w:hRule="exact"/>
        </w:trPr>
        <w:tc>
          <w:tcPr>
            <w:tcW w:type="dxa" w:w="4680"/>
            <w:tcBorders>
              <w:top w:val="none"/>
              <w:left w:val="none"/>
              <w:bottom w:val="none"/>
              <w:right w:val="none"/>
            </w:tcBorders>
          </w:tcPr>
          <w:p>
            <w:pPr>
              <w:spacing w:after="0" w:before="0"/>
            </w:pPr>
          </w:p>
        </w:tc>
        <w:tc>
          <w:tcPr>
            <w:tcW w:type="dxa" w:w="4680"/>
            <w:tcBorders>
              <w:top w:val="none"/>
              <w:left w:val="none"/>
              <w:bottom w:val="none"/>
              <w:right w:val="none"/>
            </w:tcBorders>
          </w:tcPr>
          <w:p>
            <w:pPr>
              <w:spacing w:after="0" w:before="0"/>
            </w:pPr>
          </w:p>
        </w:tc>
      </w:tr>
      <w:tr>
        <w:trPr>
          <w:cantSplit/>
          <w:trHeight w:val="300" w:hRule="atLeast"/>
        </w:trPr>
        <w:tc>
          <w:tcPr>
            <w:tcW w:type="dxa" w:w="4680"/>
            <w:tcBorders>
              <w:top w:val="none"/>
              <w:left w:val="single" w:color="E8735A"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C. </w:t>
            </w:r>
            <w:r>
              <w:rPr>
                <w:rFonts w:ascii="Arial" w:cs="Arial" w:eastAsia="Arial" w:hAnsi="Arial"/>
                <w:b w:val="false"/>
                <w:bCs w:val="false"/>
                <w:color w:val="1B2A4A"/>
                <w:sz w:val="22"/>
                <w:szCs w:val="22"/>
              </w:rPr>
              <w:t xml:space="preserve">It ended the French monarchy forever</w:t>
            </w:r>
          </w:p>
        </w:tc>
        <w:tc>
          <w:tcPr>
            <w:tcW w:type="dxa" w:w="4680"/>
            <w:tcBorders>
              <w:top w:val="none"/>
              <w:left w:val="single" w:color="E8735A"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D. </w:t>
            </w:r>
            <w:r>
              <w:rPr>
                <w:rFonts w:ascii="Arial" w:cs="Arial" w:eastAsia="Arial" w:hAnsi="Arial"/>
                <w:b w:val="false"/>
                <w:bCs w:val="false"/>
                <w:color w:val="1B2A4A"/>
                <w:sz w:val="22"/>
                <w:szCs w:val="22"/>
              </w:rPr>
              <w:t xml:space="preserve">It had no lasting effect on France</w:t>
            </w:r>
          </w:p>
        </w:tc>
      </w:tr>
    </w:tbl>
    <w:p>
      <w:pPr>
        <w:spacing w:after="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80"/>
        <w:gridCol w:w="8880"/>
      </w:tblGrid>
      <w:tr>
        <w:trPr>
          <w:cantSplit/>
        </w:trPr>
        <w:tc>
          <w:tcPr>
            <w:tcW w:type="dxa" w:w="480"/>
            <w:tcBorders>
              <w:top w:val="none"/>
              <w:left w:val="none"/>
              <w:bottom w:val="none"/>
              <w:right w:val="none"/>
            </w:tcBorders>
            <w:shd w:fill="145F58" w:val="clear"/>
            <w:tcMar>
              <w:top w:type="dxa" w:w="40"/>
              <w:left w:type="dxa" w:w="0"/>
              <w:bottom w:type="dxa" w:w="40"/>
              <w:right w:type="dxa" w:w="0"/>
            </w:tcMar>
            <w:vAlign w:val="center"/>
          </w:tcPr>
          <w:p>
            <w:pPr>
              <w:jc w:val="center"/>
            </w:pPr>
            <w:r>
              <w:rPr>
                <w:rFonts w:ascii="Trebuchet MS" w:cs="Trebuchet MS" w:eastAsia="Trebuchet MS" w:hAnsi="Trebuchet MS"/>
                <w:b/>
                <w:bCs/>
                <w:color w:val="FFFFFF"/>
                <w:sz w:val="22"/>
                <w:szCs w:val="22"/>
              </w:rPr>
              <w:t xml:space="preserve">3.</w:t>
            </w:r>
          </w:p>
        </w:tc>
        <w:tc>
          <w:tcPr>
            <w:tcW w:type="dxa" w:w="8880"/>
            <w:tcBorders>
              <w:top w:val="none"/>
              <w:left w:val="none"/>
              <w:bottom w:val="none"/>
              <w:right w:val="none"/>
            </w:tcBorders>
            <w:tcMar>
              <w:top w:type="dxa" w:w="40"/>
              <w:left w:type="dxa" w:w="120"/>
              <w:bottom w:type="dxa" w:w="40"/>
              <w:right w:type="dxa" w:w="80"/>
            </w:tcMar>
            <w:vAlign w:val="center"/>
          </w:tcPr>
          <w:p>
            <w:pPr>
              <w:keepNext/>
              <w:keepLines/>
              <w:spacing w:after="0" w:line="288" w:lineRule="auto"/>
            </w:pPr>
            <w:r>
              <w:rPr>
                <w:rFonts w:ascii="Arial" w:cs="Arial" w:eastAsia="Arial" w:hAnsi="Arial"/>
                <w:b/>
                <w:bCs/>
                <w:color w:val="1B2A4A"/>
                <w:sz w:val="22"/>
                <w:szCs w:val="22"/>
              </w:rPr>
              <w:t xml:space="preserve">How should we study the St. Bartholomew's Day Massacre?</w:t>
            </w:r>
          </w:p>
        </w:tc>
      </w:tr>
    </w:tbl>
    <w:p>
      <w:pPr>
        <w:keepNext/>
        <w:spacing w:after="4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rPr>
          <w:cantSplit/>
          <w:trHeight w:val="300" w:hRule="atLeast"/>
        </w:trPr>
        <w:tc>
          <w:tcPr>
            <w:tcW w:type="dxa" w:w="4680"/>
            <w:tcBorders>
              <w:top w:val="none"/>
              <w:left w:val="single" w:color="2A9D8F"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A. </w:t>
            </w:r>
            <w:r>
              <w:rPr>
                <w:rFonts w:ascii="Arial" w:cs="Arial" w:eastAsia="Arial" w:hAnsi="Arial"/>
                <w:b w:val="false"/>
                <w:bCs w:val="false"/>
                <w:color w:val="1B2A4A"/>
                <w:sz w:val="22"/>
                <w:szCs w:val="22"/>
              </w:rPr>
              <w:t xml:space="preserve">As a reason to decide which religion was right</w:t>
            </w:r>
          </w:p>
        </w:tc>
        <w:tc>
          <w:tcPr>
            <w:tcW w:type="dxa" w:w="4680"/>
            <w:tcBorders>
              <w:top w:val="none"/>
              <w:left w:val="single" w:color="2A9D8F"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B. </w:t>
            </w:r>
            <w:r>
              <w:rPr>
                <w:rFonts w:ascii="Arial" w:cs="Arial" w:eastAsia="Arial" w:hAnsi="Arial"/>
                <w:b w:val="false"/>
                <w:bCs w:val="false"/>
                <w:color w:val="1B2A4A"/>
                <w:sz w:val="22"/>
                <w:szCs w:val="22"/>
              </w:rPr>
              <w:t xml:space="preserve">As a story we should exaggerate for shock value</w:t>
            </w:r>
          </w:p>
        </w:tc>
      </w:tr>
      <w:tr>
        <w:trPr>
          <w:cantSplit/>
          <w:trHeight w:val="60" w:hRule="exact"/>
        </w:trPr>
        <w:tc>
          <w:tcPr>
            <w:tcW w:type="dxa" w:w="4680"/>
            <w:tcBorders>
              <w:top w:val="none"/>
              <w:left w:val="none"/>
              <w:bottom w:val="none"/>
              <w:right w:val="none"/>
            </w:tcBorders>
          </w:tcPr>
          <w:p>
            <w:pPr>
              <w:spacing w:after="0" w:before="0"/>
            </w:pPr>
          </w:p>
        </w:tc>
        <w:tc>
          <w:tcPr>
            <w:tcW w:type="dxa" w:w="4680"/>
            <w:tcBorders>
              <w:top w:val="none"/>
              <w:left w:val="none"/>
              <w:bottom w:val="none"/>
              <w:right w:val="none"/>
            </w:tcBorders>
          </w:tcPr>
          <w:p>
            <w:pPr>
              <w:spacing w:after="0" w:before="0"/>
            </w:pPr>
          </w:p>
        </w:tc>
      </w:tr>
      <w:tr>
        <w:trPr>
          <w:cantSplit/>
          <w:trHeight w:val="300" w:hRule="atLeast"/>
        </w:trPr>
        <w:tc>
          <w:tcPr>
            <w:tcW w:type="dxa" w:w="4680"/>
            <w:tcBorders>
              <w:top w:val="none"/>
              <w:left w:val="single" w:color="E8735A" w:sz="6"/>
              <w:bottom w:val="none"/>
              <w:right w:val="none"/>
            </w:tcBorders>
            <w:shd w:fill="E8F5F3"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C. </w:t>
            </w:r>
            <w:r>
              <w:rPr>
                <w:rFonts w:ascii="Arial" w:cs="Arial" w:eastAsia="Arial" w:hAnsi="Arial"/>
                <w:b/>
                <w:bCs/>
                <w:i/>
                <w:iCs/>
                <w:color w:val="145F58"/>
                <w:sz w:val="22"/>
                <w:szCs w:val="22"/>
              </w:rPr>
              <w:t xml:space="preserve">As history - analyzing how fear, politics, and division turned into violence ✓</w:t>
            </w:r>
          </w:p>
        </w:tc>
        <w:tc>
          <w:tcPr>
            <w:tcW w:type="dxa" w:w="4680"/>
            <w:tcBorders>
              <w:top w:val="none"/>
              <w:left w:val="single" w:color="E8735A"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D. </w:t>
            </w:r>
            <w:r>
              <w:rPr>
                <w:rFonts w:ascii="Arial" w:cs="Arial" w:eastAsia="Arial" w:hAnsi="Arial"/>
                <w:b w:val="false"/>
                <w:bCs w:val="false"/>
                <w:color w:val="1B2A4A"/>
                <w:sz w:val="22"/>
                <w:szCs w:val="22"/>
              </w:rPr>
              <w:t xml:space="preserve">As an event too upsetting to study at all</w:t>
            </w:r>
          </w:p>
        </w:tc>
      </w:tr>
    </w:tbl>
    <w:p>
      <w:pPr>
        <w:spacing w:after="120"/>
      </w:pPr>
    </w:p>
    <w:p>
      <w:pPr>
        <w:pStyle w:val="Heading2"/>
        <w:keepNext/>
        <w:keepLines/>
        <w:pageBreakBefore/>
        <w:shd w:fill="E8735A" w:val="clear"/>
        <w:spacing w:after="60" w:before="200" w:line="300" w:lineRule="auto"/>
        <w:ind w:left="120" w:right="120"/>
      </w:pPr>
      <w:r>
        <w:rPr>
          <w:rFonts w:ascii="Trebuchet MS" w:cs="Trebuchet MS" w:eastAsia="Trebuchet MS" w:hAnsi="Trebuchet MS"/>
          <w:b/>
          <w:bCs/>
          <w:color w:val="1B2A4A"/>
          <w:spacing w:val="23"/>
          <w:sz w:val="22"/>
          <w:szCs w:val="22"/>
        </w:rPr>
        <w:t xml:space="preserve">QUICK WRITE</w:t>
      </w:r>
    </w:p>
    <w:p>
      <w:pPr>
        <w:pStyle w:val="Heading3"/>
        <w:keepNext/>
        <w:keepLines/>
        <w:pBdr>
          <w:bottom w:val="single" w:color="E8735A" w:sz="6" w:space="4"/>
        </w:pBdr>
        <w:spacing w:after="40" w:before="60"/>
      </w:pPr>
      <w:r>
        <w:rPr>
          <w:rFonts w:ascii="Trebuchet MS" w:cs="Trebuchet MS" w:eastAsia="Trebuchet MS" w:hAnsi="Trebuchet MS"/>
          <w:b/>
          <w:bCs/>
          <w:color w:val="1B2A4A"/>
          <w:sz w:val="28"/>
          <w:szCs w:val="28"/>
        </w:rPr>
        <w:t xml:space="preserve">Open Response</w:t>
      </w:r>
    </w:p>
    <w:p>
      <w:pPr>
        <w:spacing w:line="288" w:lineRule="auto"/>
        <w:jc w:val="left"/>
      </w:pPr>
      <w:r>
        <w:rPr>
          <w:rFonts w:ascii="Trebuchet MS" w:cs="Trebuchet MS" w:eastAsia="Trebuchet MS" w:hAnsi="Trebuchet MS"/>
          <w:b/>
          <w:bCs/>
          <w:i w:val="false"/>
          <w:iCs w:val="false"/>
          <w:color w:val="1B2A4A"/>
          <w:sz w:val="22"/>
          <w:szCs w:val="22"/>
        </w:rPr>
        <w:t xml:space="preserve">In 3-4 sentences, explain how religious division in France turned into the mass violence of the St. Bartholomew's Day Massacre. Include (1) the background - France was split between Catholics and HUGUENOTS and torn by the WARS OF RELIGION; and (2) the trigger and the event - the 1572 royal wedding drew Huguenot leaders to Paris, the attack on Admiral COLIGNY led King CHARLES IX to order the killing, and the massacre began on August 24, 1572 and spread across France. Keep the tone analytical, not graphic. Use at least TWO of these terms: Huguenots, Wars of Religion, St. Bartholomew's Day Massacre, Admiral Coligny, Catherine de' Medici, Charles IX, Henry of Navarre, sectarian violence.</w:t>
      </w:r>
    </w:p>
    <w:p>
      <w:pPr>
        <w:spacing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E8735A" w:val="clear"/>
          </w:tcPr>
          <w:p/>
        </w:tc>
        <w:tc>
          <w:tcPr>
            <w:tcW w:type="dxa" w:w="9240"/>
            <w:tcBorders>
              <w:top w:val="none"/>
              <w:left w:val="none"/>
              <w:bottom w:val="none"/>
              <w:right w:val="none"/>
            </w:tcBorders>
            <w:shd w:fill="FFF8F6"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RUBRIC (4 points): (1) correctly explains the background - France was split between Catholics and HUGUENOTS and torn by the WARS OF RELIGION; (2) explains the trigger and the event - the 1572 royal wedding drew Huguenot leaders to Paris, the attack on Admiral COLIGNY led King CHARLES IX (urged by CATHERINE DE' MEDICI) to order the killing, and the ST. BARTHOLOMEW'S DAY MASSACRE began on August 24, 1572 and spread across France; (3) keeps the tone analytical, not graphic; (4) uses at least TWO lesson terms (Huguenots, Wars of Religion, St. Bartholomew's Day Massacre, Admiral Coligny, Catherine de' Medici, Charles IX, Henry of Navarre, sectarian violence). SAMPLE 4-POINT RESPONSE: "France was split between Catholics and the HUGUENOTS, and the two sides had fought the WARS OF RELIGION for years. In 1572 a royal wedding drew the Huguenot leaders into Catholic Paris; after an assassin wounded Admiral COLIGNY, King CHARLES IX ordered the killing of the Huguenot leaders. The ST. BARTHOLOMEW'S DAY MASSACRE began on August 24, 1572, and spread across France, deepening the country's religious division." Deduct 1 point per missing element.</w:t>
            </w:r>
          </w:p>
        </w:tc>
      </w:tr>
    </w:tbl>
    <w:p>
      <w:pPr>
        <w:spacing w:after="60" w:before="120"/>
      </w:pPr>
      <w:r>
        <w:rPr>
          <w:rFonts w:ascii="Trebuchet MS" w:cs="Trebuchet MS" w:eastAsia="Trebuchet MS" w:hAnsi="Trebuchet MS"/>
          <w:b/>
          <w:bCs/>
          <w:color w:val="1B2A4A"/>
          <w:sz w:val="18"/>
          <w:szCs w:val="18"/>
        </w:rPr>
        <w:t xml:space="preserve">ANSWERS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640"/>
        <w:gridCol w:w="8720"/>
      </w:tblGrid>
      <w:tr>
        <w:trPr>
          <w:cantSplit/>
        </w:trPr>
        <w:tc>
          <w:tcPr>
            <w:tcW w:type="dxa" w:w="640"/>
            <w:tcBorders>
              <w:top w:val="none"/>
              <w:left w:val="none"/>
              <w:bottom w:val="none"/>
              <w:right w:val="none"/>
            </w:tcBorders>
          </w:tcPr>
          <w:p>
            <w:r>
              <w:rPr>
                <w:rFonts w:ascii="Arial" w:cs="Arial" w:eastAsia="Arial" w:hAnsi="Arial"/>
                <w:color w:val="1B2A4A"/>
                <w:sz w:val="18"/>
                <w:szCs w:val="18"/>
              </w:rPr>
              <w:t xml:space="preserve">1.</w:t>
            </w:r>
          </w:p>
        </w:tc>
        <w:tc>
          <w:tcPr>
            <w:tcW w:type="dxa" w:w="8720"/>
            <w:tcBorders>
              <w:top w:val="none"/>
              <w:left w:val="none"/>
              <w:bottom w:val="none"/>
              <w:right w:val="none"/>
            </w:tcBorders>
          </w:tcPr>
          <w:p>
            <w:r>
              <w:rPr>
                <w:rFonts w:ascii="Arial" w:cs="Arial" w:eastAsia="Arial" w:hAnsi="Arial"/>
                <w:b/>
                <w:bCs/>
                <w:color w:val="145F58"/>
                <w:sz w:val="18"/>
                <w:szCs w:val="18"/>
              </w:rPr>
              <w:t xml:space="preserve">A</w:t>
            </w:r>
          </w:p>
        </w:tc>
      </w:tr>
      <w:tr>
        <w:trPr>
          <w:cantSplit/>
        </w:trPr>
        <w:tc>
          <w:tcPr>
            <w:tcW w:type="dxa" w:w="640"/>
            <w:tcBorders>
              <w:top w:val="none"/>
              <w:left w:val="none"/>
              <w:bottom w:val="none"/>
              <w:right w:val="none"/>
            </w:tcBorders>
          </w:tcPr>
          <w:p>
            <w:r>
              <w:rPr>
                <w:rFonts w:ascii="Arial" w:cs="Arial" w:eastAsia="Arial" w:hAnsi="Arial"/>
                <w:color w:val="1B2A4A"/>
                <w:sz w:val="18"/>
                <w:szCs w:val="18"/>
              </w:rPr>
              <w:t xml:space="preserve">2.</w:t>
            </w:r>
          </w:p>
        </w:tc>
        <w:tc>
          <w:tcPr>
            <w:tcW w:type="dxa" w:w="8720"/>
            <w:tcBorders>
              <w:top w:val="none"/>
              <w:left w:val="none"/>
              <w:bottom w:val="none"/>
              <w:right w:val="none"/>
            </w:tcBorders>
          </w:tcPr>
          <w:p>
            <w:r>
              <w:rPr>
                <w:rFonts w:ascii="Arial" w:cs="Arial" w:eastAsia="Arial" w:hAnsi="Arial"/>
                <w:b/>
                <w:bCs/>
                <w:color w:val="145F58"/>
                <w:sz w:val="18"/>
                <w:szCs w:val="18"/>
              </w:rPr>
              <w:t xml:space="preserve">B</w:t>
            </w:r>
          </w:p>
        </w:tc>
      </w:tr>
      <w:tr>
        <w:trPr>
          <w:cantSplit/>
        </w:trPr>
        <w:tc>
          <w:tcPr>
            <w:tcW w:type="dxa" w:w="640"/>
            <w:tcBorders>
              <w:top w:val="none"/>
              <w:left w:val="none"/>
              <w:bottom w:val="none"/>
              <w:right w:val="none"/>
            </w:tcBorders>
          </w:tcPr>
          <w:p>
            <w:r>
              <w:rPr>
                <w:rFonts w:ascii="Arial" w:cs="Arial" w:eastAsia="Arial" w:hAnsi="Arial"/>
                <w:color w:val="1B2A4A"/>
                <w:sz w:val="18"/>
                <w:szCs w:val="18"/>
              </w:rPr>
              <w:t xml:space="preserve">3.</w:t>
            </w:r>
          </w:p>
        </w:tc>
        <w:tc>
          <w:tcPr>
            <w:tcW w:type="dxa" w:w="8720"/>
            <w:tcBorders>
              <w:top w:val="none"/>
              <w:left w:val="none"/>
              <w:bottom w:val="none"/>
              <w:right w:val="none"/>
            </w:tcBorders>
          </w:tcPr>
          <w:p>
            <w:r>
              <w:rPr>
                <w:rFonts w:ascii="Arial" w:cs="Arial" w:eastAsia="Arial" w:hAnsi="Arial"/>
                <w:b/>
                <w:bCs/>
                <w:color w:val="145F58"/>
                <w:sz w:val="18"/>
                <w:szCs w:val="18"/>
              </w:rPr>
              <w:t xml:space="preserve">C</w:t>
            </w:r>
          </w:p>
        </w:tc>
      </w:tr>
    </w:tbl>
    <w:p>
      <w:pPr>
        <w:spacing w:after="120"/>
      </w:pPr>
    </w:p>
    <w:p>
      <w:r>
        <w:br w:type="page"/>
      </w:r>
    </w:p>
    <w:p>
      <w:pPr>
        <w:spacing w:before="600"/>
      </w:pPr>
    </w:p>
    <w:p>
      <w:pPr>
        <w:spacing w:after="200"/>
        <w:jc w:val="center"/>
      </w:pPr>
      <w:r>
        <w:rPr>
          <w:rFonts w:ascii="Trebuchet MS" w:cs="Trebuchet MS" w:eastAsia="Trebuchet MS" w:hAnsi="Trebuchet MS"/>
          <w:b/>
          <w:bCs/>
          <w:color w:val="1B2A4A"/>
          <w:sz w:val="28"/>
          <w:szCs w:val="28"/>
        </w:rPr>
        <w:t xml:space="preserve">MORE LESSONS LESS PLANNING</w:t>
      </w:r>
    </w:p>
    <w:p>
      <w:pPr>
        <w:spacing w:after="300"/>
        <w:jc w:val="center"/>
      </w:pPr>
      <w:r>
        <w:rPr>
          <w:rFonts w:ascii="Trebuchet MS" w:cs="Trebuchet MS" w:eastAsia="Trebuchet MS" w:hAnsi="Trebuchet MS"/>
          <w:b/>
          <w:bCs/>
          <w:color w:val="1B2A4A"/>
          <w:sz w:val="48"/>
          <w:szCs w:val="48"/>
        </w:rPr>
        <w:t xml:space="preserve">Thank You!</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If you enjoyed this product, please do not forget to rate and review to assist other teachers.</w:t>
            </w:r>
          </w:p>
        </w:tc>
      </w:tr>
    </w:tbl>
    <w:p>
      <w:pPr>
        <w:spacing w:after="120" w:before="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E8735A" w:val="clear"/>
          </w:tcPr>
          <w:p/>
        </w:tc>
        <w:tc>
          <w:tcPr>
            <w:tcW w:type="dxa" w:w="9240"/>
            <w:tcBorders>
              <w:top w:val="none"/>
              <w:left w:val="none"/>
              <w:bottom w:val="none"/>
              <w:right w:val="none"/>
            </w:tcBorders>
            <w:shd w:fill="FFF8F6"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Looking for future discounts? Earn TPT credits by reviewing purchased products.</w:t>
            </w:r>
          </w:p>
        </w:tc>
      </w:tr>
    </w:tbl>
    <w:p>
      <w:pPr>
        <w:spacing w:after="120" w:before="120"/>
      </w:pPr>
    </w:p>
    <w:p>
      <w:pPr>
        <w:spacing w:line="336" w:lineRule="auto"/>
        <w:jc w:val="center"/>
      </w:pPr>
      <w:r>
        <w:rPr>
          <w:rFonts w:ascii="Arial" w:cs="Arial" w:eastAsia="Arial" w:hAnsi="Arial"/>
          <w:color w:val="555555"/>
          <w:sz w:val="20"/>
          <w:szCs w:val="20"/>
        </w:rPr>
        <w:t xml:space="preserve">Please contact me if you have any issues with this product. Just like our students, I am always looking for opportunities to grow.</w:t>
      </w: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2A9D8F" w:sz="4"/>
      </w:pBdr>
      <w:spacing w:before="120"/>
      <w:jc w:val="center"/>
    </w:pPr>
    <w:r>
      <w:rPr>
        <w:rFonts w:ascii="Arial" w:cs="Arial" w:eastAsia="Arial" w:hAnsi="Arial"/>
        <w:color w:val="707070"/>
        <w:sz w:val="18"/>
        <w:szCs w:val="18"/>
      </w:rPr>
      <w:fldChar w:fldCharType="begin"/>
      <w:instrText xml:space="preserve">PAGE</w:instrText>
      <w:fldChar w:fldCharType="separate"/>
      <w:fldChar w:fldCharType="end"/>
    </w:r>
    <w:r>
      <w:rPr>
        <w:rFonts w:ascii="Arial" w:cs="Arial" w:eastAsia="Arial" w:hAnsi="Arial"/>
        <w:color w:val="707070"/>
        <w:sz w:val="18"/>
        <w:szCs w:val="18"/>
      </w:rPr>
      <w:t xml:space="preserve">     © More Lessons Less Planning  |  morelessonslessplanning.com     </w:t>
    </w:r>
    <w:r>
      <w:rPr>
        <w:rFonts w:ascii="Trebuchet MS" w:cs="Trebuchet MS" w:eastAsia="Trebuchet MS" w:hAnsi="Trebuchet MS"/>
        <w:b/>
        <w:bCs/>
        <w:color w:val="B84D38"/>
        <w:sz w:val="18"/>
        <w:szCs w:val="18"/>
      </w:rPr>
      <w:t xml:space="preserve">ANSWER KEY</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rPr>
      <w:rFonts w:ascii="Trebuchet MS" w:cs="Trebuchet MS" w:eastAsia="Trebuchet MS" w:hAnsi="Trebuchet MS"/>
      <w:b/>
      <w:bCs/>
      <w:color w:val="FFFFFF"/>
      <w:sz w:val="40"/>
      <w:szCs w:val="40"/>
    </w:rPr>
  </w:style>
  <w:style w:type="paragraph" w:styleId="Heading2">
    <w:name w:val="Heading 2"/>
    <w:basedOn w:val="Normal"/>
    <w:next w:val="Normal"/>
    <w:qFormat/>
    <w:rPr>
      <w:rFonts w:ascii="Trebuchet MS" w:cs="Trebuchet MS" w:eastAsia="Trebuchet MS" w:hAnsi="Trebuchet MS"/>
      <w:b/>
      <w:bCs/>
      <w:color w:val="1B2A4A"/>
      <w:sz w:val="28"/>
      <w:szCs w:val="28"/>
    </w:rPr>
  </w:style>
  <w:style w:type="paragraph" w:styleId="Heading3">
    <w:name w:val="Heading 3"/>
    <w:basedOn w:val="Normal"/>
    <w:next w:val="Normal"/>
    <w:qFormat/>
    <w:rPr>
      <w:rFonts w:ascii="Arial" w:cs="Arial" w:eastAsia="Arial" w:hAnsi="Arial"/>
      <w:b/>
      <w:bCs/>
      <w:color w:val="1B2A4A"/>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2026-07-27T16:55:31.614Z</dcterms:created>
  <dcterms:modified xsi:type="dcterms:W3CDTF">2026-07-27T16:55:31.614Z</dcterms:modified>
</cp:coreProperties>
</file>

<file path=docProps/custom.xml><?xml version="1.0" encoding="utf-8"?>
<Properties xmlns="http://schemas.openxmlformats.org/officeDocument/2006/custom-properties" xmlns:vt="http://schemas.openxmlformats.org/officeDocument/2006/docPropsVTypes"/>
</file>