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c>
          <w:tcPr>
            <w:tcW w:type="dxa" w:w="9360"/>
            <w:tcBorders>
              <w:top w:val="single" w:color="E8735A" w:sz="12"/>
              <w:left w:val="none"/>
              <w:bottom w:val="single" w:color="E8735A" w:sz="8"/>
              <w:right w:val="none"/>
            </w:tcBorders>
            <w:shd w:fill="1B2A4A" w:val="clear"/>
            <w:tcMar>
              <w:top w:type="dxa" w:w="160"/>
              <w:left w:type="dxa" w:w="120"/>
              <w:bottom w:type="dxa" w:w="120"/>
              <w:right w:type="dxa" w:w="120"/>
            </w:tcMar>
          </w:tcPr>
          <w:p>
            <w:pPr>
              <w:spacing w:after="40"/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30"/>
                <w:sz w:val="18"/>
                <w:szCs w:val="18"/>
              </w:rPr>
              <w:t xml:space="preserve">WORLD HISTORY</w:t>
            </w:r>
          </w:p>
          <w:p>
            <w:pPr>
              <w:pStyle w:val="Heading1"/>
              <w:spacing w:after="40"/>
              <w:jc w:val="center"/>
            </w:pPr>
            <w:r>
              <w:rPr>
                <w:rFonts w:ascii="Trebuchet MS" w:cs="Trebuchet MS" w:eastAsia="Trebuchet MS" w:hAnsi="Trebuchet MS"/>
                <w:b/>
                <w:bCs/>
                <w:color w:val="FFFFFF"/>
                <w:spacing w:val="15"/>
                <w:sz w:val="40"/>
                <w:szCs w:val="40"/>
              </w:rPr>
              <w:t xml:space="preserve">TEACHER PRESENTATION NOTES</w:t>
            </w:r>
          </w:p>
          <w:p>
            <w:pPr>
              <w:jc w:val="left"/>
            </w:pPr>
            <w:r>
              <w:rPr>
                <w:rFonts w:ascii="Trebuchet MS" w:cs="Trebuchet MS" w:eastAsia="Trebuchet MS" w:hAnsi="Trebuchet MS"/>
                <w:color w:val="FFFFFF"/>
                <w:spacing w:val="10"/>
                <w:sz w:val="20"/>
                <w:szCs w:val="20"/>
              </w:rPr>
              <w:t xml:space="preserve">THE NEOLITHIC REVOLUTION</w:t>
            </w:r>
          </w:p>
        </w:tc>
      </w:tr>
    </w:tbl>
    <w:p>
      <w:pPr>
        <w:spacing w:after="120" w:before="120"/>
      </w:pPr>
      <w:r>
        <w:rPr>
          <w:rFonts w:ascii="Arial" w:cs="Arial" w:eastAsia="Arial" w:hAnsi="Arial"/>
          <w:b w:val="false"/>
          <w:bCs w:val="false"/>
          <w:i/>
          <w:iCs/>
          <w:color w:val="555555"/>
          <w:sz w:val="18"/>
          <w:szCs w:val="18"/>
        </w:rPr>
        <w:t xml:space="preserve">Two slides per page. Use the cards below as your teaching script for each slide.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Neolithic Revolution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Neolithic Revolution; How the shift from foraging to farming changed where humans lived, what they ate, and how society was organized.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 by naming the through-line: the Neolithic Revolution was the shift from foraging to farming, the biggest change in early human history.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chain the lesson follows: farming produced extra food, and extra food changed where people lived and how society was organized.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where does your food come from today, and who grows it? Use it to set up how different foraging life was.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Opens the lesson on the single biggest change in early human history: the move from foraging to farming.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Neolithic Revolution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Where does your food come from, and who grows it?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might life change if every person had to find their own food each day?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title slide.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2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What You Will Learn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What You Will Learn; Explain what the Neolithic Revolution was and how farming replaced foraging.; Describe how domesticating plants and animals changed the food supply.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Walk through the four targets and point out they build a chain: farming, then surplus, then permanent villages, then social classes.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Stress that the last target adds a history skill: using a primary source to reconstruct a change from the past.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which target looks most surprising, and why would a food surplus change the way people live?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the four goals; stress the cause-and-effect chain from farming to a food surplus to permanent villages to new social classes.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What You Will Learn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target sounds most surprising to you?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having extra food change how people live?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No blanks on the targets slide.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3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World Before Farming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World Before Farming; Foraging; Finding food by hunting wild animals and gathering wild plants; how humans lived before farming.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foraging meant hunting wild animals and gathering wild plants, with no farms or stores.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because wild food ran out in each area, people lived as nomads and moved constantly.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why a wandering foraging band had to stay small, connecting it to how little food one area provides.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Extension: humans lived this way for roughly 200,000 years before farming began.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Establish the baseline: for roughly 200,000 years every human was a nomadic forager living in small bands.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World Before Farming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foragers have to keep moving?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do you think foraging groups stayed small?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FORAGING (hunting and gathering wild plants), and NOMAD (moves from place to place).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4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Great Change: The Neolithic Revolution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Great Change: The Neolithic Revolution; Neolithic Revolution; The shift from hunting and gathering to farming that began around 10,000 BCE.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the Neolithic Revolution as the shift from hunting and gathering to farming beginning about 10,000 BCE.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Locate it at the end of the last Ice Age in the Fertile Crescent, then spreading worldwide.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Clarify why it is called a 'revolution' even though it took generations, to prevent the single-event misconception.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why switching from foraging to farming would take many generations rather than happening overnight.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word 'revolution' can mislead: this was a gradual change over centuries, not a single event.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Great Change: The Neolithic Revolution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might it take generations for a group to fully switch from foraging to farming?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region did farming first begin in?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the Neolithic REVOLUTION, and the date 10,000 BCE.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5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Taming Plants and Animals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Taming Plants and Animals; Domestication; Taming wild animals and growing wild plants on purpose so people can use them for food.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domestication as taming wild animals and growing wild plants on purpose for food.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List the first domesticated crops (wheat, barley) and animals (sheep, goats, cattle) so students have concrete examples.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domestication to agriculture - the everyday word for growing crops and raising animals.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 to compare hunting a wild sheep with raising a tame one to make domestication concrete.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Domestication reshaped the plants and animals themselves over generations, making them larger, tamer, and more useful.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Taming Plants and Animals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is the difference between hunting a wild sheep and raising a tame one?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came first — taming animals or planting crops, or did they happen together?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DOMESTICATION (taming animals and plants), and AGRICULTURE (growing crops for food).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6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The First Farm Tools and Crops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The First Farm Tools and Crops; First crops; Early farmers planted grains such as wheat and barley.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Describe the flint sickle: a curved flint blade set in a handle, used to cut stalks of grain at harvest.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grinding stones turned harvested grain into flour, a key step in living on farmed food.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Set up the next slide by telling students they will see a real Neolithic flint sickle artifact.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what an archaeologist can conclude when they dig up a sickle or grinding stone at a site.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Stone tools like the flint sickle are some of the clearest physical evidence archaeologists use to identify an early farming site.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The First Farm Tools and Crops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would a curved blade be useful for cutting grain?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does finding a sickle at a dig site tell an archaeologist?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Blank: the flint SICKLE used to harvest grain.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7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Flint Sickle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Flint Sickle; Example of a Neolithic flint sickle (reconstructed; Egypt c.3900-3300 BC); Serrated flint blades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Give students a moment to notice the sharpened, serrated flint blades set along the sickle's inner curve.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a curved tool made for harvesting grain is direct evidence that people had begun to farm.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what does a curved, serrated flint blade tell us about how these people gathered their food?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Flint Sickle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would you explain A Flint Sickle in your own words?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Students should be able to connect their notes to: A Flint Sickle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8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Food Surplus Changes Everything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Food Surplus Changes Everything; Surplus; Extra food produced beyond what a family needs to survive.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surplus as extra food beyond survival, and stress that it could be stored for later.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staying near fields and stored grain pushed people into permanent settlements.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Frame surplus as the hinge of the lesson: it makes villages, specialization, and social class possible.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why foragers could not store much food, contrasting them with settled farmers.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The idea of storable surplus is the hinge of the whole lesson: it is what makes settlement, specialization, and social class possible.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Food Surplus Changes Everything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can't foragers store much food?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does having stored food let people stop moving?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SURPLUS (extra stored food), and PERMANENT SETTLEMENT (living year-round in one place).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300"/>
              <w:gridCol w:w="8060"/>
            </w:tblGrid>
            <w:tr>
              <w:tc>
                <w:tcPr>
                  <w:tcW w:type="dxa" w:w="13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9</w:t>
                  </w:r>
                </w:p>
              </w:tc>
              <w:tc>
                <w:tcPr>
                  <w:tcW w:type="dxa" w:w="806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Villages and Permanent Settlement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Villages and Permanent Settlement; A food surplus meant people no longer had to wander to survive.; Farmers built permanent villages of mud-brick houses near their fields.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a stored food surplus tied people to their fields and led to permanent mud-brick villages.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Use Jericho and Catalhoyuk as concrete examples of villages far larger than any foraging band.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Point out that grain stored in pits and clay jars is what let a village survive year-round.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how is a settled village of thousands different from a nomadic band of a few dozen people?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Catalhoyuk (in modern Turkey) and Jericho are the classic examples of dense early Neolithic settlements.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Villages and Permanent Settlement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is a village of thousands different from a foraging band of a few dozen?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build houses out of mud brick?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Blank: permanent VILLAGES of mud-brick houses.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10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New Jobs: Specialization and Artisans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New Jobs: Specialization and Artisans; Specialization; When a food surplus lets some people focus on one kind of job instead of finding food.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specialization as some people doing one job because farmers grow enough food for everyone.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artisan as a skilled maker of pottery, tools, or cloth, and give the potter and weaver as examples.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Connect the new village jobs directly back to surplus: non-farmers can only exist if farmers feed them.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could a nomadic foraging band never support a full-time artisan like a potter or weaver?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Specialization is only possible because farmers feed the non-farmers - a direct result of surplus.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New Jobs: Specialization and Artisans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can't a foraging band have full-time potters or weavers?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specialized job would you have wanted in an early village?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SPECIALIZATION (focusing on one job), and ARTISAN (skilled maker of goods like cloth).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11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A New Social Order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A New Social Order; Social class; A group of people in a society who share a similar level of wealth and status.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Define social class as a group sharing a similar level of wealth and status.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how stored surplus, land, and trade let some families gain more wealth and power than others.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Contrast the new leaders-and-followers order with the relative equality of foraging bands.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how simply storing extra grain could, over time, make one family more powerful than its neighbors.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Foraging bands were relatively equal; stored, ownable surplus is what allowed lasting inequality to form.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A New Social Order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could storing extra grain make one family more powerful?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were foraging bands more equal than farming villages?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Blank: a SOCIAL CLASS is a group sharing wealth and STATUS.</w:t>
                  </w:r>
                </w:p>
              </w:tc>
            </w:tr>
          </w:tbl>
          <w:p/>
        </w:tc>
      </w:tr>
    </w:tbl>
    <w:p>
      <w:pPr>
        <w:spacing w:after="0" w:before="100"/>
      </w:pPr>
      <w:r>
        <w:rPr>
          <w:rFonts w:ascii="Arial" w:cs="Arial" w:eastAsia="Arial" w:hAnsi="Arial"/>
          <w:b w:val="false"/>
          <w:bCs w:val="false"/>
          <w:i w:val="false"/>
          <w:iCs w:val="false"/>
          <w:color w:val="333333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12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How We Know: Reading the Evidence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How We Know: Reading the Evidence; Archaeology; Learning about the past by digging up and studying physical remains - tools, seeds, bones, and buildings.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Explain that no one recorded the Neolithic Revolution, so archaeology relies on physical remains dug up from the past.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List the kinds of evidence students will meet - sickles, grinding stones, storage pits, seeds, bones, and mud-brick houses.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Introduce John Lubbock's 1865 written account as an early explanation students will analyze in the activity.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why do historians cross-check a written account like Lubbock's against physical archaeological evidence?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This slide sets up the activity's Primary Source Spotlight: Lubbock (1865) is an early written explanation, checked against physical evidence.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How We Know: Reading the Evidence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can we study an event no one wrote down at the time?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Why check a written explanation against physical evidence?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Blanks: physical REMAINS studied by archaeologists, and the scientist John LUBBOCK (1865).</w:t>
                  </w:r>
                </w:p>
              </w:tc>
            </w:tr>
          </w:tbl>
          <w:p/>
        </w:tc>
      </w:tr>
    </w:tbl>
    <w:p>
      <w:pPr>
        <w:pageBreakBefore/>
        <w:spacing w:after="0" w:before="0"/>
      </w:pPr>
      <w:r>
        <w:rPr>
          <w:rFonts w:ascii="Arial" w:cs="Arial" w:eastAsia="Arial" w:hAnsi="Arial"/>
          <w:sz w:val="18"/>
          <w:szCs w:val="18"/>
        </w:rPr>
        <w:t xml:space="preserve"/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60"/>
      </w:tblGrid>
      <w:tr>
        <w:trPr>
          <w:cantSplit/>
        </w:trPr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440"/>
              <w:gridCol w:w="7920"/>
            </w:tblGrid>
            <w:tr>
              <w:tc>
                <w:tcPr>
                  <w:tcW w:type="dxa" w:w="144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B2A4A" w:val="clear"/>
                  <w:tcMar>
                    <w:top w:type="dxa" w:w="30"/>
                    <w:left w:type="dxa" w:w="80"/>
                    <w:bottom w:type="dxa" w:w="30"/>
                    <w:right w:type="dxa" w:w="8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22"/>
                      <w:sz w:val="20"/>
                      <w:szCs w:val="20"/>
                    </w:rPr>
                    <w:t xml:space="preserve">SLIDE 13</w:t>
                  </w:r>
                </w:p>
              </w:tc>
              <w:tc>
                <w:tcPr>
                  <w:tcW w:type="dxa" w:w="7920"/>
                  <w:tcBorders>
                    <w:top w:val="none" w:color="FFFFFF" w:sz="0"/>
                    <w:left w:val="none" w:color="FFFFFF" w:sz="0"/>
                    <w:bottom w:val="single" w:color="2A9D8F" w:sz="6"/>
                    <w:right w:val="none" w:color="FFFFFF" w:sz="0"/>
                  </w:tcBorders>
                  <w:tcMar>
                    <w:top w:type="dxa" w:w="30"/>
                    <w:left w:type="dxa" w:w="120"/>
                    <w:bottom w:type="dxa" w:w="30"/>
                    <w:right w:type="dxa" w:w="80"/>
                  </w:tcMar>
                  <w:vAlign w:val="center"/>
                </w:tcPr>
                <w:p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z w:val="24"/>
                      <w:szCs w:val="24"/>
                    </w:rPr>
                    <w:t xml:space="preserve">Key Takeaways</w:t>
                  </w:r>
                </w:p>
              </w:tc>
            </w:tr>
          </w:tbl>
          <w:p>
            <w:pPr>
              <w:spacing w:after="40" w:before="20"/>
            </w:pPr>
            <w:r>
              <w:rPr>
                <w:rFonts w:ascii="Arial" w:cs="Arial" w:eastAsia="Arial" w:hAnsi="Arial"/>
                <w:b/>
                <w:bCs/>
                <w:i/>
                <w:iCs/>
                <w:color w:val="1B2A4A"/>
                <w:sz w:val="16"/>
                <w:szCs w:val="16"/>
              </w:rPr>
              <w:t xml:space="preserve">On-slide summary: </w:t>
            </w:r>
            <w:r>
              <w:rPr>
                <w:rFonts w:ascii="Arial" w:cs="Arial" w:eastAsia="Arial" w:hAnsi="Arial"/>
                <w:b w:val="false"/>
                <w:bCs w:val="false"/>
                <w:i/>
                <w:iCs/>
                <w:color w:val="333333"/>
                <w:sz w:val="16"/>
                <w:szCs w:val="16"/>
              </w:rPr>
              <w:t xml:space="preserve">Key Takeaways; The Neolithic Revolution was the shift from foraging to farming (~10,000 BCE).; Domestication of plants and animals gave people a stored food surplus.</w:t>
            </w:r>
          </w:p>
          <w:p>
            <w:pPr>
              <w:keepNext/>
              <w:spacing w:after="10" w:before="40"/>
            </w:pPr>
            <w:r>
              <w:rPr>
                <w:rFonts w:ascii="Trebuchet MS" w:cs="Trebuchet MS" w:eastAsia="Trebuchet MS" w:hAnsi="Trebuchet MS"/>
                <w:b/>
                <w:bCs/>
                <w:color w:val="1B2A4A"/>
                <w:spacing w:val="30"/>
                <w:sz w:val="16"/>
                <w:szCs w:val="16"/>
              </w:rPr>
              <w:t xml:space="preserve">TALKING POINTS</w:t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Recap the cause-and-effect chain: domestication, then surplus, then permanent villages, then specialization and social classes.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Preview that the activity has students reconstruct the shift from foraging to farming using archaeology and Lubbock's 1865 account.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Ask students: which change mattered most, and how do your own lives still depend on the Neolithic Revolution?</w:t>
                  </w:r>
                </w:p>
              </w:tc>
            </w:tr>
          </w:tbl>
          <w:p>
            <w:pPr>
              <w:spacing w:after="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4580"/>
              <w:gridCol w:w="200"/>
              <w:gridCol w:w="4580"/>
            </w:tblGrid>
            <w:tr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BACKGROUND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Close on the cause-and-effect chain: domestication to surplus to settlement to social class.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Keep the explanation tied to what students can see on the slide.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Add only brief context needed to make Key Takeaways classroom-ready.</w:t>
                  </w:r>
                </w:p>
              </w:tc>
              <w:tc>
                <w:tcPr>
                  <w:tcW w:type="dxa" w:w="2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/>
                  </w:r>
                </w:p>
              </w:tc>
              <w:tc>
                <w:tcPr>
                  <w:tcW w:type="dxa" w:w="458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0"/>
                    <w:bottom w:type="dxa" w:w="40"/>
                    <w:right w:type="dxa" w:w="80"/>
                  </w:tcMar>
                  <w:vAlign w:val="top"/>
                </w:tcPr>
                <w:p>
                  <w:pPr>
                    <w:keepNext/>
                    <w:spacing w:after="10" w:before="40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1B2A4A"/>
                      <w:spacing w:val="30"/>
                      <w:sz w:val="16"/>
                      <w:szCs w:val="16"/>
                    </w:rPr>
                    <w:t xml:space="preserve">DISCUSSION QUESTIONS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Which change do you think mattered most, and why?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How does your life still depend on the Neolithic Revolution today?</w:t>
                  </w:r>
                </w:p>
                <w:p>
                  <w:pPr>
                    <w:spacing w:after="0" w:line="240" w:lineRule="auto"/>
                    <w:ind w:left="180" w:hanging="180"/>
                  </w:pPr>
                  <w:r>
                    <w:rPr>
                      <w:rFonts w:ascii="Arial" w:cs="Arial" w:eastAsia="Arial" w:hAnsi="Arial"/>
                      <w:b/>
                      <w:bCs/>
                      <w:i w:val="false"/>
                      <w:iCs w:val="false"/>
                      <w:color w:val="B84D38"/>
                      <w:sz w:val="18"/>
                      <w:szCs w:val="18"/>
                    </w:rPr>
                    <w:t xml:space="preserve">•  </w:t>
                  </w:r>
                  <w:r>
                    <w:rPr>
                      <w:rFonts w:ascii="Arial" w:cs="Arial" w:eastAsia="Arial" w:hAnsi="Arial"/>
                      <w:b w:val="false"/>
                      <w:bCs w:val="false"/>
                      <w:i w:val="false"/>
                      <w:iCs w:val="false"/>
                      <w:color w:val="333333"/>
                      <w:sz w:val="18"/>
                      <w:szCs w:val="18"/>
                    </w:rPr>
                    <w:t xml:space="preserve">What part of the slide gives you the strongest evidence?</w:t>
                  </w:r>
                </w:p>
              </w:tc>
            </w:tr>
          </w:tbl>
          <w:p>
            <w:pPr>
              <w:spacing w:after="20" w:before="40"/>
            </w:pPr>
            <w:r>
              <w:rPr>
                <w:rFonts w:ascii="Arial" w:cs="Arial" w:eastAsia="Arial" w:hAnsi="Arial"/>
                <w:b w:val="false"/>
                <w:bCs w:val="false"/>
                <w:i w:val="false"/>
                <w:iCs w:val="false"/>
                <w:color w:val="333333"/>
                <w:sz w:val="18"/>
                <w:szCs w:val="18"/>
              </w:rPr>
              <w:t xml:space="preserve"/>
            </w:r>
          </w:p>
          <w:tbl>
            <w:tblPr>
              <w:tblW w:type="dxa" w:w="9360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</w:tblPr>
            <w:tblGrid>
              <w:gridCol w:w="1500"/>
              <w:gridCol w:w="7860"/>
            </w:tblGrid>
            <w:tr>
              <w:tc>
                <w:tcPr>
                  <w:tcW w:type="dxa" w:w="15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145F58" w:val="clear"/>
                  <w:tcMar>
                    <w:top w:type="dxa" w:w="20"/>
                    <w:left w:type="dxa" w:w="100"/>
                    <w:bottom w:type="dxa" w:w="20"/>
                    <w:right w:type="dxa" w:w="100"/>
                  </w:tcMar>
                  <w:vAlign w:val="center"/>
                </w:tcPr>
                <w:p>
                  <w:pPr>
                    <w:jc w:val="center"/>
                  </w:pPr>
                  <w:r>
                    <w:rPr>
                      <w:rFonts w:ascii="Trebuchet MS" w:cs="Trebuchet MS" w:eastAsia="Trebuchet MS" w:hAnsi="Trebuchet MS"/>
                      <w:b/>
                      <w:bCs/>
                      <w:color w:val="FFFFFF"/>
                      <w:spacing w:val="18"/>
                      <w:sz w:val="14"/>
                      <w:szCs w:val="14"/>
                    </w:rPr>
                    <w:t xml:space="preserve">GUIDED NOTES</w:t>
                  </w:r>
                </w:p>
              </w:tc>
              <w:tc>
                <w:tcPr>
                  <w:tcW w:type="dxa" w:w="786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0FAF8" w:val="clear"/>
                  <w:tcMar>
                    <w:top w:type="dxa" w:w="20"/>
                    <w:left w:type="dxa" w:w="120"/>
                    <w:bottom w:type="dxa" w:w="20"/>
                    <w:right w:type="dxa" w:w="120"/>
                  </w:tcMar>
                  <w:vAlign w:val="center"/>
                </w:tcPr>
                <w:p>
                  <w:r>
                    <w:rPr>
                      <w:rFonts w:ascii="Arial" w:cs="Arial" w:eastAsia="Arial" w:hAnsi="Arial"/>
                      <w:b w:val="false"/>
                      <w:bCs w:val="false"/>
                      <w:i/>
                      <w:iCs/>
                      <w:color w:val="1B2A4A"/>
                      <w:sz w:val="16"/>
                      <w:szCs w:val="16"/>
                    </w:rPr>
                    <w:t xml:space="preserve">Ties together every Reference Guide term from the lesson.</w:t>
                  </w:r>
                </w:p>
              </w:tc>
            </w:tr>
          </w:tbl>
          <w:p/>
        </w:tc>
      </w:tr>
    </w:tbl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2A9D8F" w:sz="4"/>
      </w:pBdr>
      <w:spacing w:before="120"/>
      <w:jc w:val="center"/>
    </w:pPr>
    <w:r>
      <w:rPr>
        <w:rFonts w:ascii="Arial" w:cs="Arial" w:eastAsia="Arial" w:hAnsi="Arial"/>
        <w:color w:val="707070"/>
        <w:sz w:val="18"/>
        <w:szCs w:val="18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707070"/>
        <w:sz w:val="18"/>
        <w:szCs w:val="18"/>
      </w:rPr>
      <w:t xml:space="preserve">     © More Lessons Less Planning  |  morelessonslessplanning.com     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2026-09-07T00:13:58.602Z</dcterms:created>
  <dcterms:modified xsi:type="dcterms:W3CDTF">2026-09-07T00:13:58.602Z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