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THE GREAT LAW OF PEACE AND THE IROQUOIS CONFEDERACY</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US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study the Great Law of Peace, the founding law that bound the Mohawk, Oneida, Onondaga, Cayuga, and Seneca nations into one Confederacy with one council, and that still governs the nations bound by it today.</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learn ten terms, from wampum and sachem to provenance and exonym, and apply five of them in writing.</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compare three records of that same government side by side and explain what each one can and cannot show.</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part of the law itself as it was printed in 1916 and answer sourcing, comprehension, and analysis questions on it.</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finish by ruling in writing on a contested claim: whether these records show that the Great Law shaped the United States Constitution.</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Graded work: a 12-question quiz, a short exit ticket with a written response, and the five-part activity packet.</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WHAT KIND OF RECORD THE 1916 BOOK IS, AND WHO SET IT DOWN. The passage students read in Activity Part 4 is a DOCUMENTED RECITATION of the Great Law, not the oral tradition itself. The law was carried for centuries by trained sachems and by belts and strings of wampum, with nothing written. In the early 1900s Seth Newhouse, a Mohawk, wrote an account of the law out in English; Albert Cusick, a New York Onondaga-Tuscarora and a recognized authority on Iroquois law and civic rites, was employed for more than a month correcting it; and Arthur C. Parker, a Seneca archaeologist on the staff of the New York State Museum, edited it and printed it as a state museum bulletin in 1916. Say that out loud to the class in those words. What students are reading is Haudenosaunee men writing down a Haudenosaunee law, roughly five centuries after the founding it describes - not a transcript made at the time, and not an outsider summarizing something he overheard.</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 FOUNDING DATE IS NOT SETTLED, AND THE 1390 DATE IS NOT PARKER’S. Parker printed two manuscripts in the same volume. The second one, compiled by the chiefs of the Six Nations council, opens with an introduction signed by those chiefs that dates the founding of the League to about the year 1390. That sentence belongs to the chiefs, not to Parker, and the Newhouse laws printed alongside it carry no date at all. Slide 15 and Guided Notes Section 15 both say so; do not let the date get attached to the editor.</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 OTHER SOURCES, IN FULL. (1) Cadwallader Colden, The History of the Five Indian Nations of Canada, from the Introduction on the form of their government. FIRST PRINTED IN NEW YORK IN 1727; the wording used in this toolkit is from the London edition printed for T. Osborne in 1747, which is a later reprint of the same Introduction. Both dates appear together on slide 16, in Guided Notes Section 16, in the Activity Part 3 column heading, and in Quiz question 10, because the graded skill in this lesson is working out how long after an event a record was made. (2) A Treaty, held at the Town of Lancaster, in Pennsylvania... with the Indians of the Six Nations, In June, 1744, printed by Benjamin Franklin, Philadelphia, 1744, for the closing words of Canassatego’s speech of July 4, 1744. (3) Benjamin Franklin to James Parker, March 20, 1751, in The Writings of Benjamin Franklin, ed. Albert Henry Smyth, Volume III (1905), printed in full at the end of the Activity packet. (4) House Concurrent Resolution 331, One Hundredth Congress, agreed to October 21, 1988, printed in United States Statutes at Large, Volume 102, also printed in full at the end of the Activity packet. All four are public domain.</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FRANKLIN’S 1751 SENTENCE CONTAINS AN EIGHTEENTH-CENTURY RACIAL SLUR, quoted because the same sentence holds the Six Nations up as the union the colonies should copy. It appears in quotation marks on slide 19, in the Activity appendix, and nowhere else. Slide 19’s talking points tell you to name it out loud and say whose contempt it is before the class reads any further. Do not paraphrase it as the lesson’s own voice and do not skip past it silently.</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HAUDENOSAUNEE IS WHAT THESE NATIONS CALL THEMSELVES; IROQUOIS IS THE OUTSIDERS’ NAME and the name in nearly every old document and in most textbooks. Five Nations and Six Nations are the same Confederacy at two different dates: the Tuscarora joined, and the 1916 printing puts it in one line, the Five Nations, since 1715 the Six Nations. Slide 7 and Guided Notes Section 7 connect all four names explicitly. This is a living government: keep the verbs in the present tense and correct students who slip into the past.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Great Law of Peace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Gayanashagowa, the founding law that binds five nations into one Confederacy and sets out how they meet, decide, and keep peace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Wampum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Shell beads worked into belts and strings that hold an agreement in place and are read back aloud by someone trained to read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Oral tradition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Knowledge kept and handed on by trained memory and by speaking, rather than by writing it on paper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Sachem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leader who holds one of the fifty titles of the Confederacy and answers to the people who raised him to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Clan mother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woman in whose family a title is vested; she names the man who wears it and she can have it taken from him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Firekeepers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Onondaga leaders who keep the fire, open and close every council, and rule when the two sides of the house cannot settle a matter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Consensus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decision both sides of a council reach together, rather than a vote in which the larger number simply wins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Exonym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name outsiders use for a people, different from the name that people use for themselves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Provenance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record of who set a document down, when, and whose hands it passed through before it reached 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Interpreter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person who turns a speaker's meaning into another tongue on the spot, before anyone writes anything down</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(45-50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Opening question: how do you keep a law exactly right for five hundred years with no writing?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5-25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1-13 with Guided Notes Sections 3 to 13</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25-40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14-22 with Guided Notes Sections 14 to 21, then Activity Parts 1 and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40-50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Activity Parts 3 to 5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0-30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30-55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 to 3, working in pairs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55-80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4 primary source and Part 5 written ruling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80-90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or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0-25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1-13 with Guided Notes Sections 3 to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25-30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started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0-15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14-22 with Guided Notes Sections 14 to 21</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15-30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2 to 5, then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Print the Guided Notes and the Activity double-sided; both are designed to be handed out and used with no preparation.</w:t>
      </w:r>
    </w:p>
    <w:p>
      <w:pPr>
        <w:spacing w:line="288" w:lineRule="auto"/>
        <w:jc w:val="left"/>
      </w:pPr>
      <w:r>
        <w:rPr>
          <w:rFonts w:ascii="Arial" w:cs="Arial" w:eastAsia="Arial" w:hAnsi="Arial"/>
          <w:b w:val="false"/>
          <w:bCs w:val="false"/>
          <w:i w:val="false"/>
          <w:iCs w:val="false"/>
          <w:color w:val="333333"/>
          <w:sz w:val="22"/>
          <w:szCs w:val="22"/>
        </w:rPr>
        <w:t xml:space="preserve">2. Open the slide deck and check that the two photograph slides display before class; they carry no text students need to copy.</w:t>
      </w:r>
    </w:p>
    <w:p>
      <w:pPr>
        <w:spacing w:line="288" w:lineRule="auto"/>
        <w:jc w:val="left"/>
      </w:pPr>
      <w:r>
        <w:rPr>
          <w:rFonts w:ascii="Arial" w:cs="Arial" w:eastAsia="Arial" w:hAnsi="Arial"/>
          <w:b w:val="false"/>
          <w:bCs w:val="false"/>
          <w:i w:val="false"/>
          <w:iCs w:val="false"/>
          <w:color w:val="333333"/>
          <w:sz w:val="22"/>
          <w:szCs w:val="22"/>
        </w:rPr>
        <w:t xml:space="preserve">3. Decide before the period whether the quiz runs on paper or through the Google Form so students know how they will submit.</w:t>
      </w:r>
    </w:p>
    <w:p>
      <w:pPr>
        <w:spacing w:line="288" w:lineRule="auto"/>
        <w:jc w:val="left"/>
      </w:pPr>
      <w:r>
        <w:rPr>
          <w:rFonts w:ascii="Arial" w:cs="Arial" w:eastAsia="Arial" w:hAnsi="Arial"/>
          <w:b w:val="false"/>
          <w:bCs w:val="false"/>
          <w:i w:val="false"/>
          <w:iCs w:val="false"/>
          <w:color w:val="333333"/>
          <w:sz w:val="22"/>
          <w:szCs w:val="22"/>
        </w:rPr>
        <w:t xml:space="preserve">4. Have the Teacher Presentation Notes open on a second screen or printed; each slide carries three to five talking points, and slide 19 carries the ones you need before the Franklin quotation goes up.</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was the Great Law of Peace carried before anyone set it down in writing?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By trained sachems who learned it by heart, with belts and strings of wampum recording each law</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job does a belt or string of wampum do in this record?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It records a particular law, so that the law can be recalled and read back exactly</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relationship between the Five Nations and the Six Nations?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They are the same Confederacy; it became the Six Nations after the Tuscarora joined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Great Law, which Lords take up a question first?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The Mohawk and Seneca Lords, before the other side sees it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 the Firekeepers do when the two sides of the council do not agree?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They render a decision as they see fit, and the Mohawk Lords announce it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Great Law, in whom is a Lordship title vested?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In the women of the family that holds the title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has to happen before the War Chiefs take a title away from a Lord?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A complaint, then a second, then a third complaint and warning</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brought together the first of the two manuscripts Arthur C. Parker printed in 1916?</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Seth Newhouse, a Mohawk, whose account Albert Cusick then corrected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does the date about the year 1390 come from?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 introduction written by the chiefs of the Six Nations council</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Cadwallader Colden's description of the Five Nations was first printed in which year, and what is the 1747 London edition?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First printed in 1727; the 1747 London edition is a later reprint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Canassatego's speech a hard document to quote exactly?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He spoke through an interpreter, a clerk wrote the English down, and two printings differ</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House Concurrent Resolution 331, agreed to in 1988?</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A statement both houses of Congress agreed to, which is not a law</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strongest reason to ask who set a document down, and when?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Because a later record can still be good evidence, but only if you know whose hands it came through</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law of the Confederacy rather than an outsider's description of 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That the War Chiefs divest an erring Lord by order of the women</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can the resolution Congress agreed to in 1988 establish on its own?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That Congress was willing to state the influence as fact in 1988</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four to six sentences, explain why the Great Law of Peace is harder to quote exactly than a letter is, and why that difficulty does not make it weaker evidence about how the Confederacy governs itself. Use at least two specific details from today's lesson, and name one thing these records still cannot settle.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answer that (a) explains the gap - the law was made centuries before anyone wrote it, was carried by trained sachems and by belts and strings of wampum, and was written out in English and printed only in 1916 - (b) cites two or more accurate details from the lesson, such as Albert Cusick spending more than a month correcting the manuscript, the Six Nations of New York making the State Museum the custodian of their wampums in 1898, or the 1744 and 1851 printings of Canassatego’s speech that do not read the same, and (c) names a genuine limit, such as the year the Confederacy was founded, or the fact that no framer of the Constitution is on record saying he took anything from it. Do not give credit for answers that call an unwritten law simply unreliable, or that name a limit these records in fact do answer, such as the order in which the council takes up a question. Every detail listed here is on the slides and in the Guided Notes, so the quick write is answerable even when the Exit Ticket runs before Activity Part 4.</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terms filled in correctly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All 5 fill-ins correct and in context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Comparison grid completed for all three records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sourcing, comprehension, and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Ruling defended with three details, each sourced and labeled</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Put the naming problem on the board before slide 1: Haudenosaunee and Iroquois are two names for one people, and Five Nations and Six Nations are two names for one Confederacy before and after the Tuscarora joined. Students meet all four names in this lesson and no document stops to explain them. Slide 7 does, and Quiz question 3 grades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fact students most often get backwards is what the Firekeepers do. They do NOT outvote anybody. They open and close every council, they confirm a decision the two sides have already agreed, and they decide the matter only when the two sides cannot. Walk the five steps of slide 10 with your finger before students touch Activity Part 3. Note also that the 1916 printing itself spells the word Firekeepers in some laws and Fire Keepers in others; this toolkit uses Firekeepers everywhere except inside a direct quotation, and the Part 4 Word Help list tells students the two spellings mean the same leaders.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Students stall on the Part 4 passage because of the sentence length, not the ideas. Have them read the Word Help list aloud first, then read the passage twice. The second reading is where the two things they need land: the order the Lords take up a question, and what the law says about the women. Point out that the tag printed after most of the laws in the passage, such as 8-VIII, TLL, names the wampum string that held it - that tag is the reason a reader in 1916 could check the wording at all. Where a law is cut short by the [ . . . ] mark, as law 1 is, its tag falls inside the cut and is not printed.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Slide 19 needs a decision from you before class, not during it. Franklin insults the Six Nations in the same sentence in which he calls their union the thing the colonies should copy. Name the insult out loud, say plainly that it is his contempt and not a description of anybody, and then use it: contempt and admiration in one sentence is exactly what makes the sentence evidence about Franklin rather than about the Confederacy. The words appear in quotation marks on the slide and in the appendix, and nowhere else in this toolkit.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Grade Part 5 against the five requirements the student actually sees in print: a decision, three cited details, a named source for each, a watched-argued-voted label on each, and one thing that would have to exist for the claim to be settled. Do not add or drop a requirement at the marking stage, and do not grade the side the student takes. Two design notes worth knowing before you mark: Part 1 gives no word bank on purpose - the word bank under Part 2 lists only the five terms that are NOT blanked in Part 1 - and the two documents Part 5 refers to are printed at the end of the packet, each with its own heading on its own page.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Build the Chain of Hands</w:t>
      </w:r>
    </w:p>
    <w:p>
      <w:pPr>
        <w:spacing w:line="336" w:lineRule="auto"/>
        <w:jc w:val="left"/>
      </w:pPr>
      <w:r>
        <w:rPr>
          <w:rFonts w:ascii="Arial" w:cs="Arial" w:eastAsia="Arial" w:hAnsi="Arial"/>
          <w:b w:val="false"/>
          <w:bCs w:val="false"/>
          <w:i w:val="false"/>
          <w:iCs w:val="false"/>
          <w:color w:val="333333"/>
          <w:sz w:val="22"/>
          <w:szCs w:val="22"/>
        </w:rPr>
        <w:t xml:space="preserve">Students draw the chain that carried Canassatego’s words from his mouth to a printed page - speaker, interpreter, clerk, printer - and write one sentence under each link naming what could have changed there. They then draw the same chain for the 1916 printing of the Great Law and write one paragraph on which chain they would trust more, and why.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Write the Textbook Sentence</w:t>
      </w:r>
    </w:p>
    <w:p>
      <w:pPr>
        <w:spacing w:line="336" w:lineRule="auto"/>
        <w:jc w:val="left"/>
      </w:pPr>
      <w:r>
        <w:rPr>
          <w:rFonts w:ascii="Arial" w:cs="Arial" w:eastAsia="Arial" w:hAnsi="Arial"/>
          <w:b w:val="false"/>
          <w:bCs w:val="false"/>
          <w:i w:val="false"/>
          <w:iCs w:val="false"/>
          <w:color w:val="333333"/>
          <w:sz w:val="22"/>
          <w:szCs w:val="22"/>
        </w:rPr>
        <w:t xml:space="preserve">Students write the single sentence a textbook should print about the Confederacy and the United States Constitution, then write the footnote that has to go with it. The footnote must name every document the sentence rests on and say what each one is: something a writer watched, something a writer argued, or something a body voted to say.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What the Records Cannot Say</w:t>
      </w:r>
    </w:p>
    <w:p>
      <w:pPr>
        <w:spacing w:line="336" w:lineRule="auto"/>
        <w:jc w:val="left"/>
      </w:pPr>
      <w:r>
        <w:rPr>
          <w:rFonts w:ascii="Arial" w:cs="Arial" w:eastAsia="Arial" w:hAnsi="Arial"/>
          <w:b w:val="false"/>
          <w:bCs w:val="false"/>
          <w:i w:val="false"/>
          <w:iCs w:val="false"/>
          <w:color w:val="333333"/>
          <w:sz w:val="22"/>
          <w:szCs w:val="22"/>
        </w:rPr>
        <w:t xml:space="preserve">Students list five things they would want to know about the founding of the Confederacy, mark each one answerable or not answerable from the documents in this lesson, and write one sentence explaining every mark. They finish by naming the one record that would have had to survive to answer the hardest item on their list.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If a law is carried by trained memory and by wampum for five centuries, is the record of it weaker than a written one, or only different?</w:t>
      </w:r>
    </w:p>
    <w:p>
      <w:pPr>
        <w:spacing w:after="80"/>
      </w:pPr>
    </w:p>
    <w:p>
      <w:pPr>
        <w:spacing w:line="336" w:lineRule="auto"/>
        <w:jc w:val="left"/>
      </w:pPr>
      <w:r>
        <w:rPr>
          <w:rFonts w:ascii="Arial" w:cs="Arial" w:eastAsia="Arial" w:hAnsi="Arial"/>
          <w:b/>
          <w:bCs/>
          <w:i w:val="false"/>
          <w:iCs w:val="false"/>
          <w:color w:val="333333"/>
          <w:sz w:val="22"/>
          <w:szCs w:val="22"/>
        </w:rPr>
        <w:t xml:space="preserve">2. Whose judgment sits inside the 1916 printing, and how would the text read differently if different people had written and corrected it?</w:t>
      </w:r>
    </w:p>
    <w:p>
      <w:pPr>
        <w:spacing w:after="80"/>
      </w:pPr>
    </w:p>
    <w:p>
      <w:pPr>
        <w:spacing w:line="336" w:lineRule="auto"/>
        <w:jc w:val="left"/>
      </w:pPr>
      <w:r>
        <w:rPr>
          <w:rFonts w:ascii="Arial" w:cs="Arial" w:eastAsia="Arial" w:hAnsi="Arial"/>
          <w:b/>
          <w:bCs/>
          <w:i w:val="false"/>
          <w:iCs w:val="false"/>
          <w:color w:val="333333"/>
          <w:sz w:val="22"/>
          <w:szCs w:val="22"/>
        </w:rPr>
        <w:t xml:space="preserve">3. What could a colonial official standing outside the council see accurately, and what could he never have seen at all?</w:t>
      </w:r>
    </w:p>
    <w:p>
      <w:pPr>
        <w:spacing w:after="80"/>
      </w:pPr>
    </w:p>
    <w:p>
      <w:pPr>
        <w:spacing w:line="336" w:lineRule="auto"/>
        <w:jc w:val="left"/>
      </w:pPr>
      <w:r>
        <w:rPr>
          <w:rFonts w:ascii="Arial" w:cs="Arial" w:eastAsia="Arial" w:hAnsi="Arial"/>
          <w:b/>
          <w:bCs/>
          <w:i w:val="false"/>
          <w:iCs w:val="false"/>
          <w:color w:val="333333"/>
          <w:sz w:val="22"/>
          <w:szCs w:val="22"/>
        </w:rPr>
        <w:t xml:space="preserve">4. A decision that must be unanimous costs a council something and buys it something. What is each?</w:t>
      </w:r>
    </w:p>
    <w:p>
      <w:pPr>
        <w:spacing w:after="80"/>
      </w:pPr>
    </w:p>
    <w:p>
      <w:pPr>
        <w:spacing w:line="336" w:lineRule="auto"/>
        <w:jc w:val="left"/>
      </w:pPr>
      <w:r>
        <w:rPr>
          <w:rFonts w:ascii="Arial" w:cs="Arial" w:eastAsia="Arial" w:hAnsi="Arial"/>
          <w:b/>
          <w:bCs/>
          <w:i w:val="false"/>
          <w:iCs w:val="false"/>
          <w:color w:val="333333"/>
          <w:sz w:val="22"/>
          <w:szCs w:val="22"/>
        </w:rPr>
        <w:t xml:space="preserve">5. What kind of document would actually settle whether the Great Law shaped the Constitution, and does any such document appear in this lesson?</w:t>
      </w:r>
    </w:p>
    <w:p>
      <w:pPr>
        <w:spacing w:after="80"/>
      </w:pP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Differentiation and Accommodations</w:t>
      </w:r>
    </w:p>
    <w:p>
      <w:pPr>
        <w:spacing w:line="336" w:lineRule="auto"/>
        <w:jc w:val="left"/>
      </w:pPr>
      <w:r>
        <w:rPr>
          <w:rFonts w:ascii="Arial" w:cs="Arial" w:eastAsia="Arial" w:hAnsi="Arial"/>
          <w:b w:val="false"/>
          <w:bCs w:val="false"/>
          <w:i w:val="false"/>
          <w:iCs w:val="false"/>
          <w:color w:val="333333"/>
          <w:sz w:val="22"/>
          <w:szCs w:val="22"/>
        </w:rPr>
        <w:t xml:space="preserve">The hardest text in this lesson is the 1916 passage in Activity Part 4, and the hardest thinking is the Part 5 ruling, which asks students to defend a decision AND label each cited detail as something watched, something argued, or something voted. Scaffold the reading first; the historical thinking is reachable once the vocabulary is out of the way.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IEP / writing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Read the Word Help list on the page before the Part 4 passage aloud, then read the passage twice: once for the shape of the council, once for the laws about the women. Give Documents A and B at the end of the packet the same treatment before students start Part 5: read the word help inside the opening paragraph of each document aloud, then read the document itself twice. Each of those two documents is one long sentence, and Part 5, worth ten of the fifty points on the Activity rubric, rests on them.</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the Part 5 ruling to be answered in bullet points against the five required elements rather than in continuous paragraphs. Score the elements, not the prose.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Pre-fill two of the five blanked Reference Guide terms in Part 1 so students pattern-match the remaining three from the Guided Notes instead of stalling on a blank page.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Let students fill the Part 3 comparison grid one column at a time rather than one row at a time; one document at a time is far less to hold in mind.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English Language Learners (ELL) supports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Word Help list on the page before the Part 4 passage glosses sachem, Confederate Lords, Adodarhoh, Firekeepers, deliberated upon, unwarrantable dissent, unanimous, lineal descent, progenitors, Royaneh, the Five Nations and Six Nations naming rule, the wampum tag, and the cut mark. Point at it explicitly before students start reading. The two documents at the end of the packet carry their own word help inside their opening paragraphs.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Pair each of the ten Reference Guide terms with the slide that teaches it so students hear the term said aloud before they are asked to write it.</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Say the naming rule once and write it on the board: Haudenosaunee is what the people call themselves, Iroquois is what outsiders wrote, and Five Nations and Six Nations are the same Confederacy before and after the Tuscarora joined.</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Accept the Part 3 boxes in short phrases or in a home language first, then translate one row into English with a partner.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504 / processing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Extend time on Part 4 rather than shortening it. The passage is short but the sentences are long, and the second reading is where the council path becomes clear.</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Offer the Guided Notes teacher key as a checking tool after a student has attempted each section, so the notes stay usable as an Activity reference.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the Part 3 grid to be completed with the Guided Notes open on the desk; the grid is a synthesis task, not a memory test.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Tiered sentence starters and scaffolds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sentence about the Constitution is a finding / a reasonable reading / a guess, because . .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One detail that supports my decision is . . ., which came from . . ., and it is something a writer argued because . .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 second detail is . . ., which came from . . ., and it is something a body voted to say because . .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For this sentence to be settled either way, somebody would have had to . .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For early finishers: name the one question about the Confederacy you would most want answered, then say what would have had to survive for anyone to answer it.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2026-09-07T00:43:01.323Z</dcterms:created>
  <dcterms:modified xsi:type="dcterms:W3CDTF">2026-09-07T00:43:01.323Z</dcterms:modified>
</cp:coreProperties>
</file>

<file path=docProps/custom.xml><?xml version="1.0" encoding="utf-8"?>
<Properties xmlns="http://schemas.openxmlformats.org/officeDocument/2006/custom-properties" xmlns:vt="http://schemas.openxmlformats.org/officeDocument/2006/docPropsVTypes"/>
</file>