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Battle of Adwa: Ethiopia Defeats an Empire</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a disputed treaty clause help spark a war that ended with an African army decisively defeating a European invader - and what does Ethiopia's victory at Adwa reveal about African sovereignty in the age of empire?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In this activity you examine how a single disputed treaty clause helped spark a war between Italy and Ethiopia - a war Ethiopia decisively won. Part 1 is the Reference Guide: fill in the five missing terms using the slides and your Guided Notes.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the Italian and Amharic versions of Article 17 of the 1889 Treaty of Wichale (Ucciali) differed, and why that difference became the spark for war.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Emperor Menelik II mobilized a national Ethiopian army of well over 100,000 soldiers, and identify the roles of Empress Taytu Betul, Ras Alula, and Ras Makonnen.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Ethiopian forces defeated the Italian army at the Battle of Adwa on 1 March 1896.</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Summarize the terms of the 1896 Treaty of Addis Ababa and its significance for Ethiopian independence.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Ethiopia's victory at Adwa as an example of African sovereignty, strategy, and agency - not luck - defeating a European invader.</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Menelik II's own words in his 1895 war-proclamation as primary source evidence of Ethiopia's reasons for going to war.</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Battle of Adwa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Battle of Adwa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One Treaty, One Mobilization, One Battle</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Judgment on Adwa</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25 minutes (up to 35 for a block period)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Battle of Adwa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1889 Italy-Ethiopia treaty whose Article 17 read differently in Italian and Amharic - the spark for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Protectorate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state whose foreign affairs are controlled by another power; Italy claimed this status over Ethiopia.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Ethiopia's court language; its Article 17 text left Menelik free to choose whether to use Italy at all.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Mobilization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Gathering and arming a nation's forces for war; Menelik's 1895 awaj called over 100,000 soldiers to arms.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formal Ethiopian royal proclamation, read aloud by criers, calling every able man to arms against invasion.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high Ethiopian noble title, roughly duke or prince; held by commanders such as Alula and Makonnen.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state's right to govern itself and control its own territory and foreign relations.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Treaty of Addis Ababa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October 1896 peace treaty where Italy recognized Ethiopian independence but kept Eritrea.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 March 1896 battle where unified Ethiopian forces decisively defeated the invading Italian army.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Colonial resistance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Organized opposition to conquest or foreign control; Ethiopia's Adwa victory is a leading example.</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Battle of Adwa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is the short name for the 1889 treaty between Italy and Emperor Menelik II whose Article 17 read differently in Italian than in Amharic?</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When Italy told other European governments it now controlled Ethiopia's foreign affairs, what specific status was it claiming Ethiopia had become?</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do we call the formal proclamation, read aloud by criers, that Emperor Menelik II issued to call every able man to arms against the Italian invasion?</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Alula commanded troops from Tigray and Makonnen commanded troops from Harar - what shared noble title, roughly equivalent to duke or prince, did they both hold?</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is the name of the town where Ethiopian forces won a decisive victory on 1 March 1896, forcing Italy to negotiate peace?</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One Treaty, One Mobilization, One Battle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Explain the treaty dispute that caused the war between Italy and Ethiopia. Use the terms Treaty of Wichale (Ucciali) and protectorate.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Describe how Menelik II mobilized Ethiopia for war. Use the terms mobilization and awaj.</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Explain how Ethiopia's unity and sovereignty led to victory at the Battle of Adwa. Use the terms sovereignty and Battle of Adwa.</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The words below are Emperor Menelik II's own 1895 war-proclamation, mobilizing Ethiopia against the Italian invasion. They are presented here as historical evidence of how Menelik framed the war - as a defense of his country and his faith against an outside invader. The excerpt has been lightly modernized for readability; Menelik's own phrases and images are kept intact.</w:t>
      </w:r>
    </w:p>
    <w:p>
      <w:pPr>
        <w:keepNext/>
        <w:spacing w:after="80"/>
      </w:pPr>
    </w:p>
    <w:p>
      <w:pPr>
        <w:keepNext/>
        <w:keepLines/>
        <w:spacing w:after="40" w:before="40"/>
      </w:pPr>
      <w:r>
        <w:rPr>
          <w:rFonts w:ascii="Arial" w:cs="Arial" w:eastAsia="Arial" w:hAnsi="Arial"/>
          <w:b/>
          <w:bCs/>
          <w:color w:val="1B2A4A"/>
          <w:sz w:val="22"/>
          <w:szCs w:val="22"/>
        </w:rPr>
        <w:t xml:space="preserve">Menelik's War-Proclamation (Emperor Menelik II (English translation published by G. F.-H. Berkeley), 1895)</w:t>
      </w:r>
    </w:p>
    <w:p>
      <w:pPr>
        <w:keepNext/>
        <w:keepLines/>
        <w:spacing w:after="80"/>
      </w:pPr>
      <w:r>
        <w:rPr>
          <w:rFonts w:ascii="Arial" w:cs="Arial" w:eastAsia="Arial" w:hAnsi="Arial"/>
          <w:i/>
          <w:iCs/>
          <w:color w:val="333333"/>
          <w:sz w:val="22"/>
          <w:szCs w:val="22"/>
        </w:rPr>
        <w:t xml:space="preserve">In September 1895, with Italian forces advancing into Ethiopian territory following the dispute over Article 17 of the Treaty of Wichale, Emperor Menelik II issued a formal awaj (royal proclamation) mobilizing the nation for war. Criers read the proclamation aloud in towns and villages across the empire. This English translation was published by the British historian G. F.-H. Berkeley in his 1902 military history of the campaign, where it appears under the heading 'Menelik's War-Proclamation.' Historians read the document as evidence of how Menelik framed Ethiopia's cause to his own people: a defense of the country's independence and its faith against an outside invader, not a war of conquest.</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Until now, God has graciously preserved our native land. He has permitted us to conquer our enemies and reconstitute our Ethiopia. It is by the grace of God that I have reigned until now, and if my death is near I have no anxiety on that account, for death is the fate of all men. But to this day God has never humiliated me. In the same manner He will sustain me through the future. An enemy is come across the sea. He has broken through our frontiers in order to destroy our fatherland and our faith. I allowed him to seize my possessions, and I entered upon lengthy negotiations with him in hopes of obtaining justice without bloodshed. But the enemy refuses to listen. He continues to advance: he undermines our territories and our peoples like a mole. Enough! With the help of God I will defend the inheritance of my forefathers and drive back the invader by force of arms. Let every man who has sufficient strength accompany me! And he who has not, let him pray for us.</w:t>
      </w:r>
    </w:p>
    <w:p>
      <w:pPr>
        <w:keepNext/>
        <w:spacing w:after="120"/>
        <w:ind w:right="240"/>
        <w:jc w:val="right"/>
      </w:pPr>
      <w:r>
        <w:rPr>
          <w:rFonts w:ascii="Arial" w:cs="Arial" w:eastAsia="Arial" w:hAnsi="Arial"/>
          <w:color w:val="333333"/>
          <w:sz w:val="18"/>
          <w:szCs w:val="18"/>
        </w:rPr>
        <w:t xml:space="preserve">— Adapted from: George Fitz-Hardinge Berkeley, The Campaign of Adowa and the Rise of Menelik (London: A. Constable, 1902), pp. 126-127.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issued this proclamation, and in approximately what year? Use the context and citation to answer.</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what published work does this English translation of the proclamation appear, and why does knowing the source matter for judging the translation?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According to the proclamation, what has the enemy done to Ethiopia's frontiers, and what two things does Menelik say the enemy wants to destroy?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What does Menelik say he did BEFORE deciding to fight, and why, according to the text, did those efforts fail?</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Connect this proclamation to the Treaty of Wichale dispute from your Guided Notes. How does Menelik's language here reflect the treaty's translation discrepancy and Ethiopia's claim to full sovereignty?</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Judgment on Adwa</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write SUPPORTED or NOT SUPPORTED and give one reason from the lesson: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Italian and Amharic versions of the Treaty of Wichale's Article 17 said exactly the same thing.</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Emperor Menelik II mobilized a national army of well over 100,000 soldiers from across Ethiopia's regions.</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Italian army under General Baratieri advanced on accurate, reliable maps with a unified force.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Ethiopia's victory at Adwa was recognized by Italy in the Treaty of Addis Ababa, which acknowledged Ethiopian independence.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40"/>
      </w:pPr>
      <w:r>
        <w:rPr>
          <w:rFonts w:ascii="Trebuchet MS" w:cs="Trebuchet MS" w:eastAsia="Trebuchet MS" w:hAnsi="Trebuchet MS"/>
          <w:b/>
          <w:bCs/>
          <w:color w:val="B84D38"/>
          <w:spacing w:val="12"/>
          <w:sz w:val="17"/>
          <w:szCs w:val="17"/>
        </w:rPr>
        <w:t xml:space="preserve">JUDGMENT ON ADWA</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JUDGMENT ON ADWA. Write a 5-7 sentence, source-based verdict answering: How much weight do Italian command failures deserve alongside Ethiopian strategy, unity, and sovereignty in explaining Ethiopia's victory at Adwa? Use at least one detail from the Primary Source Spotlight (Menelik's 1895 war-proclamation) and at least one fact from your Guided Notes. Take a clear position crediting Ethiopian strategy and sovereignty as the primary explanation, and defend it, while explicitly rejecting any 'luck' framing.</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that credits Ethiopian strategy, unity, and sovereignty as the primary explanation for the victory (Italian command failures may be named as a contributing factor, but not as the main cause)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Menelik describing the enemy as one that 'undermines our territories and our peoples like a mole,' or his call for 'every man who has sufficient strength' to join him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fact from the Guided Notes, such as the Article 17 translation discrepancy, the 100,000+ soldier mobilization, Baratieri's faulty maps and divided columns, or the leadership of Taytu, Alula, or Makonnen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 explicit rejection of any framing that calls Adwa mere luck, naming it instead as African strategy, unity, or sovereignty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defended judgment rather than only a summary of the source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2026-07-27T17:25:20.097Z</dcterms:created>
  <dcterms:modified xsi:type="dcterms:W3CDTF">2026-07-27T17:25:20.098Z</dcterms:modified>
</cp:coreProperties>
</file>

<file path=docProps/custom.xml><?xml version="1.0" encoding="utf-8"?>
<Properties xmlns="http://schemas.openxmlformats.org/officeDocument/2006/custom-properties" xmlns:vt="http://schemas.openxmlformats.org/officeDocument/2006/docPropsVTypes"/>
</file>