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keepNext w:val="false"/>
        <w:keepLines w:val="false"/>
        <w:shd w:fill="1B2A4A" w:val="clear"/>
        <w:spacing w:after="0" w:before="0" w:line="288" w:lineRule="auto"/>
        <w:ind w:left="80" w:right="80"/>
      </w:pPr>
      <w:r>
        <w:rPr>
          <w:rFonts w:ascii="Trebuchet MS" w:cs="Trebuchet MS" w:eastAsia="Trebuchet MS" w:hAnsi="Trebuchet MS"/>
          <w:b/>
          <w:bCs/>
          <w:color w:val="FFFFFF"/>
          <w:sz w:val="34"/>
          <w:szCs w:val="34"/>
        </w:rPr>
        <w:t xml:space="preserve">The 2022-2024 Inflation Crisis</w:t>
      </w:r>
      <w:r>
        <w:rPr>
          <w:rFonts w:ascii="Trebuchet MS" w:cs="Trebuchet MS" w:eastAsia="Trebuchet MS" w:hAnsi="Trebuchet MS"/>
          <w:color w:val="C9D6E6"/>
          <w:spacing w:val="20"/>
          <w:sz w:val="19"/>
          <w:szCs w:val="19"/>
        </w:rPr>
        <w:br/>
        <w:t xml:space="preserve">STUDENT ACTIVITY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744"/>
        <w:gridCol w:w="2808"/>
        <w:gridCol w:w="2808"/>
      </w:tblGrid>
      <w:tr>
        <w:trPr>
          <w:trHeight w:val="360" w:hRule="atLeast"/>
        </w:trPr>
        <w:tc>
          <w:tcPr>
            <w:tcW w:type="dxa" w:w="3744"/>
            <w:tcBorders>
              <w:top w:val="single" w:color="2A9D8F" w:sz="4"/>
              <w:left w:val="none"/>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Name: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Date: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none"/>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Period:</w:t>
            </w:r>
            <w:r>
              <w:rPr>
                <w:rFonts w:ascii="Arial" w:cs="Arial" w:eastAsia="Arial" w:hAnsi="Arial"/>
                <w:sz w:val="20"/>
                <w:szCs w:val="20"/>
              </w:rPr>
              <w:t xml:space="preserve">  </w:t>
            </w:r>
          </w:p>
        </w:tc>
      </w:tr>
    </w:tbl>
    <w:p>
      <w:pPr>
        <w:keepNext w:val="false"/>
        <w:keepLines w:val="false"/>
        <w:pBdr>
          <w:top w:val="single" w:color="F2CFC4" w:sz="6" w:space="6"/>
          <w:bottom w:val="single" w:color="F2CFC4" w:sz="6" w:space="6"/>
          <w:left w:val="single" w:color="E8735A" w:sz="28" w:space="6"/>
          <w:right w:val="single" w:color="F2CFC4" w:sz="6" w:space="6"/>
        </w:pBdr>
        <w:shd w:fill="FFF8F6" w:val="clear"/>
        <w:spacing w:after="60" w:before="160" w:line="288" w:lineRule="auto"/>
        <w:ind w:left="120" w:right="120"/>
      </w:pPr>
      <w:r>
        <w:rPr>
          <w:rFonts w:ascii="Trebuchet MS" w:cs="Trebuchet MS" w:eastAsia="Trebuchet MS" w:hAnsi="Trebuchet MS"/>
          <w:b/>
          <w:bCs/>
          <w:color w:val="B84D38"/>
          <w:spacing w:val="15"/>
          <w:sz w:val="17"/>
          <w:szCs w:val="17"/>
        </w:rPr>
        <w:t xml:space="preserve">ESSENTIAL QUESTION</w:t>
      </w:r>
      <w:r>
        <w:rPr>
          <w:rFonts w:ascii="Arial" w:cs="Arial" w:eastAsia="Arial" w:hAnsi="Arial"/>
          <w:b/>
          <w:bCs/>
          <w:color w:val="1B2A4A"/>
          <w:sz w:val="26"/>
          <w:szCs w:val="26"/>
        </w:rPr>
        <w:br/>
        <w:t xml:space="preserve">How did U.S. inflation reach a 40-year high in 2022, what four forces drove it, and did the Fed's rate hikes actually engineer a soft landing by late 2024?</w:t>
      </w:r>
    </w:p>
    <w:p>
      <w:pPr>
        <w:keepNext/>
        <w:spacing w:after="40" w:before="160"/>
      </w:pPr>
      <w:r>
        <w:rPr>
          <w:rFonts w:ascii="Trebuchet MS" w:cs="Trebuchet MS" w:eastAsia="Trebuchet MS" w:hAnsi="Trebuchet MS"/>
          <w:b/>
          <w:bCs/>
          <w:color w:val="B84D38"/>
          <w:spacing w:val="12"/>
          <w:sz w:val="18"/>
          <w:szCs w:val="18"/>
        </w:rPr>
        <w:t xml:space="preserve">THE SCENARIO</w:t>
      </w:r>
    </w:p>
    <w:p>
      <w:pPr>
        <w:spacing w:after="120" w:line="288" w:lineRule="auto"/>
      </w:pPr>
      <w:r>
        <w:rPr>
          <w:rFonts w:ascii="Arial" w:cs="Arial" w:eastAsia="Arial" w:hAnsi="Arial"/>
          <w:color w:val="1B2A4A"/>
          <w:sz w:val="21"/>
          <w:szCs w:val="21"/>
        </w:rPr>
        <w:t xml:space="preserve">It is December 2024. You are JORDAN CHEN, a junior policy advisor at the Federal Reserve Board in Washington.</w:t>
      </w:r>
    </w:p>
    <w:p>
      <w:pPr>
        <w:keepNext/>
        <w:spacing w:after="40" w:before="160"/>
      </w:pPr>
      <w:r>
        <w:rPr>
          <w:rFonts w:ascii="Trebuchet MS" w:cs="Trebuchet MS" w:eastAsia="Trebuchet MS" w:hAnsi="Trebuchet MS"/>
          <w:b/>
          <w:bCs/>
          <w:color w:val="B84D38"/>
          <w:spacing w:val="12"/>
          <w:sz w:val="18"/>
          <w:szCs w:val="18"/>
        </w:rPr>
        <w:t xml:space="preserve">BY THE END, YOU CAN:</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Trace the 2022-2024 inflation surge from causes through the Fed's response</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Identify the four main drivers of the surge: stimulus, supply chains, energy, pent-up demand</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Evaluate whether the Fed achieved a soft landing by late 2024</w:t>
      </w:r>
    </w:p>
    <w:p>
      <w:pPr>
        <w:keepNext/>
        <w:spacing w:after="40" w:before="160"/>
      </w:pPr>
      <w:r>
        <w:rPr>
          <w:rFonts w:ascii="Trebuchet MS" w:cs="Trebuchet MS" w:eastAsia="Trebuchet MS" w:hAnsi="Trebuchet MS"/>
          <w:b/>
          <w:bCs/>
          <w:color w:val="B84D38"/>
          <w:spacing w:val="12"/>
          <w:sz w:val="18"/>
          <w:szCs w:val="18"/>
        </w:rPr>
        <w:t xml:space="preserve">HOW IT WORKS  (do Parts 1–5 in order)</w:t>
      </w:r>
    </w:p>
    <w:p>
      <w:pPr>
        <w:spacing w:after="40"/>
        <w:ind w:left="380" w:hanging="380"/>
      </w:pPr>
      <w:r>
        <w:rPr>
          <w:rFonts w:ascii="Trebuchet MS" w:cs="Trebuchet MS" w:eastAsia="Trebuchet MS" w:hAnsi="Trebuchet MS"/>
          <w:b/>
          <w:bCs/>
          <w:color w:val="145F58"/>
          <w:sz w:val="21"/>
          <w:szCs w:val="21"/>
        </w:rPr>
        <w:t xml:space="preserve">Part 1 — </w:t>
      </w:r>
      <w:r>
        <w:rPr>
          <w:rFonts w:ascii="Arial" w:cs="Arial" w:eastAsia="Arial" w:hAnsi="Arial"/>
          <w:color w:val="1B2A4A"/>
          <w:sz w:val="21"/>
          <w:szCs w:val="21"/>
        </w:rPr>
        <w:t xml:space="preserve">Inflation-Crisis Reference Guide - Complete the Missing Terms</w:t>
      </w:r>
    </w:p>
    <w:p>
      <w:pPr>
        <w:spacing w:after="40"/>
        <w:ind w:left="380" w:hanging="380"/>
      </w:pPr>
      <w:r>
        <w:rPr>
          <w:rFonts w:ascii="Trebuchet MS" w:cs="Trebuchet MS" w:eastAsia="Trebuchet MS" w:hAnsi="Trebuchet MS"/>
          <w:b/>
          <w:bCs/>
          <w:color w:val="145F58"/>
          <w:sz w:val="21"/>
          <w:szCs w:val="21"/>
        </w:rPr>
        <w:t xml:space="preserve">Part 2 — </w:t>
      </w:r>
      <w:r>
        <w:rPr>
          <w:rFonts w:ascii="Arial" w:cs="Arial" w:eastAsia="Arial" w:hAnsi="Arial"/>
          <w:color w:val="1B2A4A"/>
          <w:sz w:val="21"/>
          <w:szCs w:val="21"/>
        </w:rPr>
        <w:t xml:space="preserve">Apply the Terms - Inflation-Crisis Vocabulary in Context</w:t>
      </w:r>
    </w:p>
    <w:p>
      <w:pPr>
        <w:spacing w:after="40"/>
        <w:ind w:left="380" w:hanging="380"/>
      </w:pPr>
      <w:r>
        <w:rPr>
          <w:rFonts w:ascii="Trebuchet MS" w:cs="Trebuchet MS" w:eastAsia="Trebuchet MS" w:hAnsi="Trebuchet MS"/>
          <w:b/>
          <w:bCs/>
          <w:color w:val="145F58"/>
          <w:sz w:val="21"/>
          <w:szCs w:val="21"/>
        </w:rPr>
        <w:t xml:space="preserve">Part 3 — </w:t>
      </w:r>
      <w:r>
        <w:rPr>
          <w:rFonts w:ascii="Arial" w:cs="Arial" w:eastAsia="Arial" w:hAnsi="Arial"/>
          <w:color w:val="1B2A4A"/>
          <w:sz w:val="21"/>
          <w:szCs w:val="21"/>
        </w:rPr>
        <w:t xml:space="preserve">Read the Chart - U.S. CPI Inflation Rate (Jan 2020 - Late 2024)</w:t>
      </w:r>
    </w:p>
    <w:p>
      <w:pPr>
        <w:spacing w:after="40"/>
        <w:ind w:left="380" w:hanging="380"/>
      </w:pPr>
      <w:r>
        <w:rPr>
          <w:rFonts w:ascii="Trebuchet MS" w:cs="Trebuchet MS" w:eastAsia="Trebuchet MS" w:hAnsi="Trebuchet MS"/>
          <w:b/>
          <w:bCs/>
          <w:color w:val="145F58"/>
          <w:sz w:val="21"/>
          <w:szCs w:val="21"/>
        </w:rPr>
        <w:t xml:space="preserve">Part 4 — </w:t>
      </w:r>
      <w:r>
        <w:rPr>
          <w:rFonts w:ascii="Arial" w:cs="Arial" w:eastAsia="Arial" w:hAnsi="Arial"/>
          <w:color w:val="1B2A4A"/>
          <w:sz w:val="21"/>
          <w:szCs w:val="21"/>
        </w:rPr>
        <w:t xml:space="preserve">Read the Fed Funds Rate Chart and Diagnose the Four Causes</w:t>
      </w:r>
    </w:p>
    <w:p>
      <w:pPr>
        <w:spacing w:after="40"/>
        <w:ind w:left="380" w:hanging="380"/>
      </w:pPr>
      <w:r>
        <w:rPr>
          <w:rFonts w:ascii="Trebuchet MS" w:cs="Trebuchet MS" w:eastAsia="Trebuchet MS" w:hAnsi="Trebuchet MS"/>
          <w:b/>
          <w:bCs/>
          <w:color w:val="145F58"/>
          <w:sz w:val="21"/>
          <w:szCs w:val="21"/>
        </w:rPr>
        <w:t xml:space="preserve">Part 5 — </w:t>
      </w:r>
      <w:r>
        <w:rPr>
          <w:rFonts w:ascii="Arial" w:cs="Arial" w:eastAsia="Arial" w:hAnsi="Arial"/>
          <w:color w:val="1B2A4A"/>
          <w:sz w:val="21"/>
          <w:szCs w:val="21"/>
        </w:rPr>
        <w:t xml:space="preserve">Jordan Chen's Soft-Landing Verdict Memo for the FOMC</w:t>
      </w:r>
    </w:p>
    <w:p>
      <w:pPr>
        <w:keepNext w:val="false"/>
        <w:keepLines w:val="false"/>
        <w:shd w:fill="F2F2F2" w:val="clear"/>
        <w:spacing w:after="40" w:before="160" w:line="288" w:lineRule="auto"/>
        <w:ind w:left="120" w:right="120"/>
      </w:pPr>
      <w:r>
        <w:rPr>
          <w:rFonts w:ascii="Trebuchet MS" w:cs="Trebuchet MS" w:eastAsia="Trebuchet MS" w:hAnsi="Trebuchet MS"/>
          <w:b/>
          <w:bCs/>
          <w:color w:val="1B2A4A"/>
          <w:sz w:val="17"/>
          <w:szCs w:val="17"/>
        </w:rPr>
        <w:t xml:space="preserve">TIME  </w:t>
      </w:r>
      <w:r>
        <w:rPr>
          <w:rFonts w:ascii="Arial" w:cs="Arial" w:eastAsia="Arial" w:hAnsi="Arial"/>
          <w:color w:val="555555"/>
          <w:sz w:val="18"/>
          <w:szCs w:val="18"/>
        </w:rPr>
        <w:t xml:space="preserve">about 45 minutes        </w:t>
      </w:r>
      <w:r>
        <w:rPr>
          <w:rFonts w:ascii="Trebuchet MS" w:cs="Trebuchet MS" w:eastAsia="Trebuchet MS" w:hAnsi="Trebuchet MS"/>
          <w:b/>
          <w:bCs/>
          <w:color w:val="1B2A4A"/>
          <w:sz w:val="17"/>
          <w:szCs w:val="17"/>
        </w:rPr>
        <w:t xml:space="preserve">YOU’LL NEED  </w:t>
      </w:r>
      <w:r>
        <w:rPr>
          <w:rFonts w:ascii="Arial" w:cs="Arial" w:eastAsia="Arial" w:hAnsi="Arial"/>
          <w:color w:val="555555"/>
          <w:sz w:val="18"/>
          <w:szCs w:val="18"/>
        </w:rPr>
        <w:t xml:space="preserve">the lesson slides and your Guided Notes.</w:t>
      </w:r>
    </w:p>
    <w:p>
      <w:r>
        <w:br w:type="page"/>
      </w:r>
    </w:p>
    <w:p>
      <w:pPr>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Inflation-Crisis Reference Guide - Complete the Missing Terms</w:t>
      </w:r>
    </w:p>
    <w:p>
      <w:pPr>
        <w:keepNext/>
        <w:spacing w:after="100" w:before="20"/>
      </w:pPr>
      <w:r>
        <w:rPr>
          <w:rFonts w:ascii="Arial" w:cs="Arial" w:eastAsia="Arial" w:hAnsi="Arial"/>
          <w:color w:val="1B2A4A"/>
          <w:sz w:val="22"/>
          <w:szCs w:val="22"/>
        </w:rPr>
        <w:t xml:space="preserve">Fill in the missing term for each blank row — the definition is your clue. Your Guided Notes and the lesson slides have every term.</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slowing of the rate of inflation while prices are still rising; the 2023-2024 trend.</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Soft landing</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Bringing inflation down without causing a recession; the goal of every Fed hiking cycle.</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Federal stimulus checks and direct payments (CARES Act 2020 and American Rescue Plan 2021) that sent money to household budgets and boosted demand.</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Supply-chain disruption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Pandemic port and chip-shortage problems - ships waiting at ports while container costs jumped - that made production more expensive (cost-push inflation).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sudden spike in oil and gas prices; the 2022 Russia-Ukraine war pushed Brent crude above $120 per barrel.</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Pent-up demand</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Spending that built up during lockdown and was released all at once when the economy reopened in 2021.</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rate the Fed raises through rate hikes; it climbed 5.25 percentage points across 11 hikes from March 2022 to July 2023.</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Hiking cycle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sequence of consecutive rate hikes; the 2022-2023 cycle had 11 hikes adding 5.25 percentage points.</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One one-hundredth of a percentage point; a 75 basis-point hike equals 0.75 percentage points.</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Recession</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decline in economic activity (falling GDP); the Fed achieved disinflation without a recession - none was officially declared in 2022-2024.</w:t>
            </w:r>
          </w:p>
        </w:tc>
      </w:tr>
    </w:tbl>
    <w:p>
      <w:pPr>
        <w:spacing w:after="120"/>
      </w:pPr>
    </w:p>
    <w:p>
      <w:pPr>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 - Inflation-Crisis Vocabulary in Context</w:t>
      </w:r>
    </w:p>
    <w:p>
      <w:pPr>
        <w:keepNext/>
        <w:keepLines/>
        <w:pBdr>
          <w:top w:val="single" w:color="2A9D8F" w:sz="6" w:space="6"/>
          <w:bottom w:val="single" w:color="2A9D8F" w:sz="6" w:space="6"/>
          <w:left w:val="single" w:color="2A9D8F" w:sz="6" w:space="6"/>
          <w:right w:val="single" w:color="2A9D8F" w:sz="6" w:space="6"/>
        </w:pBdr>
        <w:shd w:fill="F0FAF8" w:val="clear"/>
        <w:spacing w:after="120" w:before="40" w:line="288" w:lineRule="auto"/>
        <w:ind w:left="120" w:right="120"/>
        <w:jc w:val="center"/>
      </w:pPr>
      <w:r>
        <w:rPr>
          <w:rFonts w:ascii="Trebuchet MS" w:cs="Trebuchet MS" w:eastAsia="Trebuchet MS" w:hAnsi="Trebuchet MS"/>
          <w:b/>
          <w:bCs/>
          <w:color w:val="145F58"/>
          <w:sz w:val="18"/>
          <w:szCs w:val="18"/>
        </w:rPr>
        <w:t xml:space="preserve">WORD BANK   </w:t>
      </w:r>
      <w:r>
        <w:rPr>
          <w:rFonts w:ascii="Arial" w:cs="Arial" w:eastAsia="Arial" w:hAnsi="Arial"/>
          <w:color w:val="1B2A4A"/>
          <w:sz w:val="21"/>
          <w:szCs w:val="21"/>
        </w:rPr>
        <w:t xml:space="preserve">energy shock</w:t>
      </w:r>
      <w:r>
        <w:rPr>
          <w:rFonts w:ascii="Arial" w:cs="Arial" w:eastAsia="Arial" w:hAnsi="Arial"/>
          <w:color w:val="555555"/>
          <w:sz w:val="21"/>
          <w:szCs w:val="21"/>
        </w:rPr>
        <w:t xml:space="preserve">   ·   </w:t>
      </w:r>
      <w:r>
        <w:rPr>
          <w:rFonts w:ascii="Arial" w:cs="Arial" w:eastAsia="Arial" w:hAnsi="Arial"/>
          <w:color w:val="1B2A4A"/>
          <w:sz w:val="21"/>
          <w:szCs w:val="21"/>
        </w:rPr>
        <w:t xml:space="preserve">basis point</w:t>
      </w:r>
      <w:r>
        <w:rPr>
          <w:rFonts w:ascii="Arial" w:cs="Arial" w:eastAsia="Arial" w:hAnsi="Arial"/>
          <w:color w:val="555555"/>
          <w:sz w:val="21"/>
          <w:szCs w:val="21"/>
        </w:rPr>
        <w:t xml:space="preserve">   ·   </w:t>
      </w:r>
      <w:r>
        <w:rPr>
          <w:rFonts w:ascii="Arial" w:cs="Arial" w:eastAsia="Arial" w:hAnsi="Arial"/>
          <w:color w:val="1B2A4A"/>
          <w:sz w:val="21"/>
          <w:szCs w:val="21"/>
        </w:rPr>
        <w:t xml:space="preserve">disinflation</w:t>
      </w:r>
      <w:r>
        <w:rPr>
          <w:rFonts w:ascii="Arial" w:cs="Arial" w:eastAsia="Arial" w:hAnsi="Arial"/>
          <w:color w:val="555555"/>
          <w:sz w:val="21"/>
          <w:szCs w:val="21"/>
        </w:rPr>
        <w:t xml:space="preserve">   ·   </w:t>
      </w:r>
      <w:r>
        <w:rPr>
          <w:rFonts w:ascii="Arial" w:cs="Arial" w:eastAsia="Arial" w:hAnsi="Arial"/>
          <w:color w:val="1B2A4A"/>
          <w:sz w:val="21"/>
          <w:szCs w:val="21"/>
        </w:rPr>
        <w:t xml:space="preserve">federal funds rate</w:t>
      </w:r>
      <w:r>
        <w:rPr>
          <w:rFonts w:ascii="Arial" w:cs="Arial" w:eastAsia="Arial" w:hAnsi="Arial"/>
          <w:color w:val="555555"/>
          <w:sz w:val="21"/>
          <w:szCs w:val="21"/>
        </w:rPr>
        <w:t xml:space="preserve">   ·   </w:t>
      </w:r>
      <w:r>
        <w:rPr>
          <w:rFonts w:ascii="Arial" w:cs="Arial" w:eastAsia="Arial" w:hAnsi="Arial"/>
          <w:color w:val="1B2A4A"/>
          <w:sz w:val="21"/>
          <w:szCs w:val="21"/>
        </w:rPr>
        <w:t xml:space="preserve">covid stimulus</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Q1. When inflation SLOWS but prices are still rising - so the cost of living keeps climbing, just less quickly than before, as in 2023-2024 - the economy is experiencing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Q2. The 2020-2021 federal checks from the CARES Act and the American Rescue Plan, which put money into household budgets and boosted demand, are an example of </w:t>
      </w:r>
      <w:r>
        <w:rPr>
          <w:u w:val="single" w:color="1B2A4A"/>
        </w:rPr>
        <w:t xml:space="preserve">                </w:t>
      </w:r>
      <w:r>
        <w:rPr>
          <w:rFonts w:ascii="Arial" w:cs="Arial" w:eastAsia="Arial" w:hAnsi="Arial"/>
          <w:color w:val="1B2A4A"/>
          <w:sz w:val="22"/>
          <w:szCs w:val="22"/>
        </w:rPr>
        <w:t xml:space="preserve">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color w:val="1B2A4A"/>
          <w:sz w:val="22"/>
          <w:szCs w:val="22"/>
        </w:rPr>
        <w:t xml:space="preserve">Q3. When the 2022 Russia-Ukraine war pushed Brent crude above $120 a barrel and U.S. gas to $5.02 a gallon, raising the cost of nearly everything that is transported, the U.S. suffered an </w:t>
      </w:r>
      <w:r>
        <w:rPr>
          <w:u w:val="single" w:color="1B2A4A"/>
        </w:rPr>
        <w:t xml:space="preserve">                </w:t>
      </w:r>
      <w:r>
        <w:rPr>
          <w:rFonts w:ascii="Arial" w:cs="Arial" w:eastAsia="Arial" w:hAnsi="Arial"/>
          <w:color w:val="1B2A4A"/>
          <w:sz w:val="22"/>
          <w:szCs w:val="22"/>
        </w:rPr>
        <w:t xml:space="preserve">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color w:val="1B2A4A"/>
          <w:sz w:val="22"/>
          <w:szCs w:val="22"/>
        </w:rPr>
        <w:t xml:space="preserve">Q4. The Fed's main policy interest rate - the overnight rate the FOMC raised again and again across 2022-2023 to cool inflation - is the </w:t>
      </w:r>
      <w:r>
        <w:rPr>
          <w:u w:val="single" w:color="1B2A4A"/>
        </w:rPr>
        <w:t xml:space="preserve">                </w:t>
      </w:r>
      <w:r>
        <w:rPr>
          <w:rFonts w:ascii="Arial" w:cs="Arial" w:eastAsia="Arial" w:hAnsi="Arial"/>
          <w:color w:val="1B2A4A"/>
          <w:sz w:val="22"/>
          <w:szCs w:val="22"/>
        </w:rPr>
        <w:t xml:space="preserve"> </w:t>
      </w:r>
      <w:r>
        <w:rPr>
          <w:u w:val="single" w:color="1B2A4A"/>
        </w:rPr>
        <w:t xml:space="preserve">                </w:t>
      </w:r>
      <w:r>
        <w:rPr>
          <w:rFonts w:ascii="Arial" w:cs="Arial" w:eastAsia="Arial" w:hAnsi="Arial"/>
          <w:color w:val="1B2A4A"/>
          <w:sz w:val="22"/>
          <w:szCs w:val="22"/>
        </w:rPr>
        <w:t xml:space="preserve">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color w:val="1B2A4A"/>
          <w:sz w:val="22"/>
          <w:szCs w:val="22"/>
        </w:rPr>
        <w:t xml:space="preserve">Q5. A rate hike of 0.75 percentage points is described as a 75 </w:t>
      </w:r>
      <w:r>
        <w:rPr>
          <w:u w:val="single" w:color="1B2A4A"/>
        </w:rPr>
        <w:t xml:space="preserve">                </w:t>
      </w:r>
      <w:r>
        <w:rPr>
          <w:rFonts w:ascii="Arial" w:cs="Arial" w:eastAsia="Arial" w:hAnsi="Arial"/>
          <w:color w:val="1B2A4A"/>
          <w:sz w:val="22"/>
          <w:szCs w:val="22"/>
        </w:rPr>
        <w:t xml:space="preserve"> </w:t>
      </w:r>
      <w:r>
        <w:rPr>
          <w:u w:val="single" w:color="1B2A4A"/>
        </w:rPr>
        <w:t xml:space="preserve">                </w:t>
      </w:r>
      <w:r>
        <w:rPr>
          <w:rFonts w:ascii="Arial" w:cs="Arial" w:eastAsia="Arial" w:hAnsi="Arial"/>
          <w:color w:val="1B2A4A"/>
          <w:sz w:val="22"/>
          <w:szCs w:val="22"/>
        </w:rPr>
        <w:t xml:space="preserve"> move; the Fed delivered four of these in a row in 2022.</w:t>
      </w:r>
    </w:p>
    <w:p>
      <w:pPr>
        <w:spacing w:after="120"/>
      </w:pPr>
    </w:p>
    <w:p>
      <w:pPr>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Read the Chart - U.S. CPI Inflation Rate (Jan 2020 - Late 2024)</w:t>
      </w:r>
    </w:p>
    <w:p>
      <w:pPr>
        <w:keepNext/>
        <w:keepLines/>
        <w:spacing w:after="4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As Jordan Chen, you pull up the official inflation data for your review.</w:t>
      </w:r>
    </w:p>
    <w:p>
      <w:pPr>
        <w:keepNext/>
        <w:keepLines/>
        <w:spacing w:after="80" w:line="288" w:lineRule="auto"/>
        <w:ind w:left="380"/>
      </w:pPr>
      <w:r>
        <w:rPr>
          <w:rFonts w:ascii="Arial" w:cs="Arial" w:eastAsia="Arial" w:hAnsi="Arial"/>
          <w:b/>
          <w:bCs/>
          <w:color w:val="1B2A4A"/>
          <w:sz w:val="22"/>
          <w:szCs w:val="22"/>
        </w:rPr>
        <w:t xml:space="preserve">Use the U.S. CPI Inflation Rate line chart (Jan 2020 - late 2024), inserted below and shown in the slide deck, to identify the PEAK inflation rate during the crisis: approximately what was the peak year-over-year rate, and in what month/year did it occur? (Chart: chart_cpi_inflation_2020_2024)</w:t>
      </w:r>
    </w:p>
    <w:p>
      <w:r>
        <w:drawing>
          <wp:inline xmlns:a="http://schemas.openxmlformats.org/drawingml/2006/main" xmlns:pic="http://schemas.openxmlformats.org/drawingml/2006/picture">
            <wp:extent cx="5303520" cy="3507875"/>
            <wp:docPr id="1" name="mllp:chart_cpi_inflation_2020_2024|the-2022-2024-inflation-crisis|docx|chart-cpi-inflation-2020-2024|" title="mllp:chart_cpi_inflation_2020_2024|the-2022-2024-inflation-crisis|docx|chart-cpi-inflation-2020-2024|" descr="Monthly line chart of the U.S. CPI year-over-year inflation rate from January 2020 to late 2024. The series starts near 2.5% in January 2020, dips to roughly 0.1% by May 2020 during the COVID lockdown, climbs steadily through 2021, and surges into 2022, peaking at 9.1% in June 2022 - the highest annual rate since November 1981. The series then disinflates through 2023 and into 2024, reaching about 2.9% by late 2024, still above the Fed's 2% target."/>
            <wp:cNvGraphicFramePr>
              <a:graphicFrameLocks noChangeAspect="1"/>
            </wp:cNvGraphicFramePr>
            <a:graphic>
              <a:graphicData uri="http://schemas.openxmlformats.org/drawingml/2006/picture">
                <pic:pic>
                  <pic:nvPicPr>
                    <pic:cNvPr id="0" name="chart_cpi_inflation_2020_2024.png"/>
                    <pic:cNvPicPr/>
                  </pic:nvPicPr>
                  <pic:blipFill>
                    <a:blip r:embed="rId9"/>
                    <a:stretch>
                      <a:fillRect/>
                    </a:stretch>
                  </pic:blipFill>
                  <pic:spPr>
                    <a:xfrm>
                      <a:off x="0" y="0"/>
                      <a:ext cx="5303520" cy="3507875"/>
                    </a:xfrm>
                    <a:prstGeom prst="rect"/>
                  </pic:spPr>
                </pic:pic>
              </a:graphicData>
            </a:graphic>
          </wp:inline>
        </w:drawing>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4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As Jordan Chen, use the same CPI chart above to identify what happened to inflation at the start of the COVID pandemic.</w:t>
      </w:r>
    </w:p>
    <w:p>
      <w:pPr>
        <w:keepNext/>
        <w:keepLines/>
        <w:spacing w:after="80" w:line="288" w:lineRule="auto"/>
        <w:ind w:left="380"/>
      </w:pPr>
      <w:r>
        <w:rPr>
          <w:rFonts w:ascii="Arial" w:cs="Arial" w:eastAsia="Arial" w:hAnsi="Arial"/>
          <w:b/>
          <w:bCs/>
          <w:color w:val="1B2A4A"/>
          <w:sz w:val="22"/>
          <w:szCs w:val="22"/>
        </w:rPr>
        <w:t xml:space="preserve">Approximately what year-over-year CPI value did the series reach in the spring of 2020, and in what month did this low occur?</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40" w:line="288" w:lineRule="auto"/>
      </w:pPr>
      <w:r>
        <w:rPr>
          <w:rFonts w:ascii="Trebuchet MS" w:cs="Trebuchet MS" w:eastAsia="Trebuchet MS" w:hAnsi="Trebuchet MS"/>
          <w:b/>
          <w:bCs/>
          <w:color w:val="145F58"/>
          <w:sz w:val="22"/>
          <w:szCs w:val="22"/>
        </w:rPr>
        <w:t xml:space="preserve">3.  </w:t>
      </w:r>
      <w:r>
        <w:rPr>
          <w:rFonts w:ascii="Arial" w:cs="Arial" w:eastAsia="Arial" w:hAnsi="Arial"/>
          <w:color w:val="1B2A4A"/>
          <w:sz w:val="22"/>
          <w:szCs w:val="22"/>
        </w:rPr>
        <w:t xml:space="preserve">As Jordan Chen, use the same CPI chart above to describe what happened to inflation between the June 2022 peak and late 2024.</w:t>
      </w:r>
    </w:p>
    <w:p>
      <w:pPr>
        <w:keepNext/>
        <w:keepLines/>
        <w:spacing w:after="80" w:line="288" w:lineRule="auto"/>
        <w:ind w:left="380"/>
      </w:pPr>
      <w:r>
        <w:rPr>
          <w:rFonts w:ascii="Arial" w:cs="Arial" w:eastAsia="Arial" w:hAnsi="Arial"/>
          <w:b/>
          <w:bCs/>
          <w:color w:val="1B2A4A"/>
          <w:sz w:val="22"/>
          <w:szCs w:val="22"/>
        </w:rPr>
        <w:t xml:space="preserve">Name at least TWO specific data points (month/year and percent) on the disinflation curve. By late 2024, was inflation above, at, or below the Fed's 2% target? (The 2% target is taught on your slides and Guided Notes - compare your late-2024 chart reading to it.)</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Read the Fed Funds Rate Chart and Diagnose the Four Causes</w:t>
      </w:r>
    </w:p>
    <w:p>
      <w:pPr>
        <w:keepNext/>
        <w:keepLines/>
        <w:spacing w:after="4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As Jordan Chen, use the Federal Funds Rate line chart (Mar 2022 - late 2024), inserted below and shown in the slide deck, to describe the Fed's hiking cycle.</w:t>
      </w:r>
    </w:p>
    <w:p>
      <w:pPr>
        <w:keepNext/>
        <w:keepLines/>
        <w:spacing w:after="80" w:line="288" w:lineRule="auto"/>
        <w:ind w:left="380"/>
      </w:pPr>
      <w:r>
        <w:rPr>
          <w:rFonts w:ascii="Arial" w:cs="Arial" w:eastAsia="Arial" w:hAnsi="Arial"/>
          <w:b/>
          <w:bCs/>
          <w:color w:val="1B2A4A"/>
          <w:sz w:val="22"/>
          <w:szCs w:val="22"/>
        </w:rPr>
        <w:t xml:space="preserve">What was the starting rate (March 2022)? What was the peak rate (July 2023)? How many percentage points did the Fed add in total, and how many separate rate hikes did this take? (Chart: chart_fed_funds_rate_2022_2024)</w:t>
      </w:r>
    </w:p>
    <w:p>
      <w:r>
        <w:drawing>
          <wp:inline xmlns:a="http://schemas.openxmlformats.org/drawingml/2006/main" xmlns:pic="http://schemas.openxmlformats.org/drawingml/2006/picture">
            <wp:extent cx="5303520" cy="3323539"/>
            <wp:docPr id="2" name="mllp:chart_fed_funds_rate_2022_2024|the-2022-2024-inflation-crisis|docx|chart-fed-funds-rate-2022-2024|" title="mllp:chart_fed_funds_rate_2022_2024|the-2022-2024-inflation-crisis|docx|chart-fed-funds-rate-2022-2024|" descr="Monthly line chart of the federal funds rate (upper bound of the target range) from March 2022 through late 2024. The series starts near 0.25% in March 2022, rises through 11 consecutive rate hikes - including four 75-basis-point jumps in 2022 - reaching 5.50% by July 2023. The rate then plateaus through 2023 and into mid-2024, and the Fed begins cutting in September 2024, easing toward roughly 4.50% by late 2024. Total hiking cycle: 5.25 percentage points across 11 hikes."/>
            <wp:cNvGraphicFramePr>
              <a:graphicFrameLocks noChangeAspect="1"/>
            </wp:cNvGraphicFramePr>
            <a:graphic>
              <a:graphicData uri="http://schemas.openxmlformats.org/drawingml/2006/picture">
                <pic:pic>
                  <pic:nvPicPr>
                    <pic:cNvPr id="0" name="chart_fed_funds_rate_2022_2024.png"/>
                    <pic:cNvPicPr/>
                  </pic:nvPicPr>
                  <pic:blipFill>
                    <a:blip r:embed="rId10"/>
                    <a:stretch>
                      <a:fillRect/>
                    </a:stretch>
                  </pic:blipFill>
                  <pic:spPr>
                    <a:xfrm>
                      <a:off x="0" y="0"/>
                      <a:ext cx="5303520" cy="3323539"/>
                    </a:xfrm>
                    <a:prstGeom prst="rect"/>
                  </pic:spPr>
                </pic:pic>
              </a:graphicData>
            </a:graphic>
          </wp:inline>
        </w:drawing>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4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As Jordan Chen, use the same federal funds rate chart above to describe what the Fed did between July 2023 and late 2024.</w:t>
      </w:r>
    </w:p>
    <w:p>
      <w:pPr>
        <w:keepNext/>
        <w:keepLines/>
        <w:spacing w:after="80" w:line="288" w:lineRule="auto"/>
        <w:ind w:left="380"/>
      </w:pPr>
      <w:r>
        <w:rPr>
          <w:rFonts w:ascii="Arial" w:cs="Arial" w:eastAsia="Arial" w:hAnsi="Arial"/>
          <w:b/>
          <w:bCs/>
          <w:color w:val="1B2A4A"/>
          <w:sz w:val="22"/>
          <w:szCs w:val="22"/>
        </w:rPr>
        <w:t xml:space="preserve">What was the Fed's posture during most of this period, and what changed in September 2024?</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As Jordan Chen, diagnose the FOUR main causes of the 2022 inflation surge. For EACH cause, write one sentence naming the cause and one sentence explaining specifically how it pushed prices up. Use specific facts from the lesson.</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2"/>
        <w:keepNext/>
        <w:keepLines/>
        <w:pBdr>
          <w:bottom w:val="single" w:color="1B2A4A" w:sz="6" w:space="4"/>
        </w:pBdr>
        <w:spacing w:after="40" w:before="60"/>
      </w:pPr>
      <w:r>
        <w:rPr>
          <w:rFonts w:ascii="Trebuchet MS" w:cs="Trebuchet MS" w:eastAsia="Trebuchet MS" w:hAnsi="Trebuchet MS"/>
          <w:b/>
          <w:bCs/>
          <w:color w:val="1B2A4A"/>
          <w:sz w:val="28"/>
          <w:szCs w:val="28"/>
        </w:rPr>
        <w:t xml:space="preserve">Jordan Chen's Soft-Landing Verdict Memo for the FOMC</w:t>
      </w:r>
    </w:p>
    <w:p>
      <w:pPr>
        <w:keepNext/>
        <w:keepLines/>
        <w:spacing w:after="40"/>
      </w:pPr>
      <w:r>
        <w:rPr>
          <w:rFonts w:ascii="Trebuchet MS" w:cs="Trebuchet MS" w:eastAsia="Trebuchet MS" w:hAnsi="Trebuchet MS"/>
          <w:b/>
          <w:bCs/>
          <w:color w:val="B84D38"/>
          <w:spacing w:val="12"/>
          <w:sz w:val="17"/>
          <w:szCs w:val="17"/>
        </w:rPr>
        <w:t xml:space="preserve">SOFT-LANDING VERDICT MEMO</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SOFT-LANDING VERDICT MEMO. Your supervisor is waiting for the written review. As Jordan Chen, write a 7-9 sentence memo (250-330 words) to the FOMC briefing book evaluating the 2022-2024 cycle. Use the memo header below and check off each required element as you include it. (Sentence starters you can use: "After reviewing the 2022-2024 cycle, I grade it as..." and "The strongest evidence for my verdict is... while the strongest evidence against is...")</w:t>
      </w:r>
    </w:p>
    <w:p>
      <w:pPr>
        <w:keepNext/>
        <w:spacing w:after="20" w:before="40"/>
      </w:pPr>
      <w:r>
        <w:rPr>
          <w:rFonts w:ascii="Trebuchet MS" w:cs="Trebuchet MS" w:eastAsia="Trebuchet MS" w:hAnsi="Trebuchet MS"/>
          <w:b/>
          <w:bCs/>
          <w:color w:val="145F58"/>
          <w:spacing w:val="12"/>
          <w:sz w:val="17"/>
          <w:szCs w:val="17"/>
        </w:rPr>
        <w:t xml:space="preserve">YOUR RESPONSE MUST: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VERDICT - one sentence stating whether you grade the 2022-2024 cycle as a soft landing (YES, MOSTLY, or NO), with a clear defense.</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TWO CPI CHART VALUES - cite at least TWO specific numbers you read off the CPI inflation chart in Part 3 (for example a peak or trough rate and the year it happened, or the late-2024 reading).</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TWO FEDERAL-FUNDS CHART VALUES - cite at least TWO specific numbers you read off the federal funds rate chart in Part 4 (for example the starting rate, the peak rate, the total increase, the number of hikes, or the first cut).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TWO CAUSES - name TWO of the four causes (stimulus, supply chains, energy/Ukraine, pent-up demand) and say which one(s) you think the Fed handled well or poorly, and why.</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EVIDENCE FOR AND AGAINST - give ONE piece of evidence FOR your verdict AND ONE piece of evidence AGAINST it.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FIVE VOCABULARY TERMS - use at least FIVE lesson vocabulary terms in your memo (e.g., disinflation, federal funds rate, hiking cycle, basis point, soft landing, recession).</w:t>
      </w:r>
    </w:p>
    <w:p>
      <w:pPr>
        <w:keepNext/>
        <w:spacing w:after="20" w:before="80"/>
      </w:pPr>
      <w:r>
        <w:rPr>
          <w:rFonts w:ascii="Trebuchet MS" w:cs="Trebuchet MS" w:eastAsia="Trebuchet MS" w:hAnsi="Trebuchet MS"/>
          <w:b/>
          <w:bCs/>
          <w:color w:val="145F58"/>
          <w:spacing w:val="12"/>
          <w:sz w:val="17"/>
          <w:szCs w:val="17"/>
        </w:rPr>
        <w:t xml:space="preserve">MEMO</w:t>
      </w:r>
    </w:p>
    <w:p>
      <w:pPr>
        <w:keepNext/>
        <w:keepLines/>
        <w:spacing w:after="40"/>
      </w:pPr>
      <w:r>
        <w:rPr>
          <w:rFonts w:ascii="Arial" w:cs="Arial" w:eastAsia="Arial" w:hAnsi="Arial"/>
          <w:b/>
          <w:bCs/>
          <w:color w:val="1B2A4A"/>
          <w:sz w:val="22"/>
          <w:szCs w:val="22"/>
        </w:rPr>
        <w:t xml:space="preserve">To:  </w:t>
      </w:r>
      <w:r>
        <w:rPr>
          <w:rFonts w:ascii="Arial" w:cs="Arial" w:eastAsia="Arial" w:hAnsi="Arial"/>
          <w:color w:val="1B2A4A"/>
          <w:sz w:val="22"/>
          <w:szCs w:val="22"/>
        </w:rPr>
        <w:t xml:space="preserve">FOMC Briefing Book</w:t>
      </w:r>
    </w:p>
    <w:p>
      <w:pPr>
        <w:keepNext/>
        <w:keepLines/>
        <w:spacing w:after="40"/>
      </w:pPr>
      <w:r>
        <w:rPr>
          <w:rFonts w:ascii="Arial" w:cs="Arial" w:eastAsia="Arial" w:hAnsi="Arial"/>
          <w:b/>
          <w:bCs/>
          <w:color w:val="1B2A4A"/>
          <w:sz w:val="22"/>
          <w:szCs w:val="22"/>
        </w:rPr>
        <w:t xml:space="preserve">From:  </w:t>
      </w:r>
      <w:r>
        <w:rPr>
          <w:rFonts w:ascii="Arial" w:cs="Arial" w:eastAsia="Arial" w:hAnsi="Arial"/>
          <w:color w:val="1B2A4A"/>
          <w:sz w:val="22"/>
          <w:szCs w:val="22"/>
        </w:rPr>
        <w:t xml:space="preserve">Jordan Chen, Policy Advisor</w:t>
      </w:r>
    </w:p>
    <w:p>
      <w:pPr>
        <w:keepNext/>
        <w:keepLines/>
        <w:spacing w:after="40"/>
      </w:pPr>
      <w:r>
        <w:rPr>
          <w:rFonts w:ascii="Arial" w:cs="Arial" w:eastAsia="Arial" w:hAnsi="Arial"/>
          <w:b/>
          <w:bCs/>
          <w:color w:val="1B2A4A"/>
          <w:sz w:val="22"/>
          <w:szCs w:val="22"/>
        </w:rPr>
        <w:t xml:space="preserve">Date:  </w:t>
      </w:r>
      <w:r>
        <w:rPr>
          <w:u w:val="single" w:color="1B2A4A"/>
        </w:rPr>
        <w:t xml:space="preserve">                        </w:t>
      </w:r>
    </w:p>
    <w:p>
      <w:pPr>
        <w:keepNext/>
        <w:keepLines/>
        <w:spacing w:after="120"/>
      </w:pPr>
      <w:r>
        <w:rPr>
          <w:rFonts w:ascii="Arial" w:cs="Arial" w:eastAsia="Arial" w:hAnsi="Arial"/>
          <w:b/>
          <w:bCs/>
          <w:color w:val="1B2A4A"/>
          <w:sz w:val="22"/>
          <w:szCs w:val="22"/>
        </w:rPr>
        <w:t xml:space="preserve">Re:  </w:t>
      </w:r>
      <w:r>
        <w:rPr>
          <w:rFonts w:ascii="Arial" w:cs="Arial" w:eastAsia="Arial" w:hAnsi="Arial"/>
          <w:color w:val="1B2A4A"/>
          <w:sz w:val="22"/>
          <w:szCs w:val="22"/>
        </w:rPr>
        <w:t xml:space="preserve">Soft-Landing Verdict on the 2022-2024 Inflation Cycle</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 Id="rId9" Type="http://schemas.openxmlformats.org/officeDocument/2006/relationships/image" Target="media/image1.png"/><Relationship Id="rId10" Type="http://schemas.openxmlformats.org/officeDocument/2006/relationships/image" Target="media/image2.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2026-06-11T05:46:10.518Z</dcterms:created>
  <dcterms:modified xsi:type="dcterms:W3CDTF">2026-06-11T05:46:10.518Z</dcterms:modified>
</cp:coreProperties>
</file>

<file path=docProps/custom.xml><?xml version="1.0" encoding="utf-8"?>
<Properties xmlns="http://schemas.openxmlformats.org/officeDocument/2006/custom-properties" xmlns:vt="http://schemas.openxmlformats.org/officeDocument/2006/docPropsVTypes"/>
</file>