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SUBSIDIES: FARM BILLS, EVS &amp; SOLAR</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GUIDED NOTES - TEACHER KEY</w:t>
            </w:r>
          </w:p>
        </w:tc>
      </w:tr>
    </w:tbl>
    <w:p>
      <w:pPr>
        <w:spacing w:after="120"/>
      </w:pPr>
    </w:p>
    <w:p>
      <w:pPr>
        <w:keepNext/>
        <w:keepLines/>
        <w:shd w:fill="145F58" w:val="clear"/>
        <w:spacing w:after="80" w:before="200" w:line="300" w:lineRule="auto"/>
        <w:ind w:left="120" w:right="120"/>
      </w:pPr>
      <w:r>
        <w:rPr>
          <w:rFonts w:ascii="Trebuchet MS" w:cs="Trebuchet MS" w:eastAsia="Trebuchet MS" w:hAnsi="Trebuchet MS"/>
          <w:b/>
          <w:bCs/>
          <w:color w:val="FFFFFF"/>
          <w:spacing w:val="23"/>
          <w:sz w:val="22"/>
          <w:szCs w:val="22"/>
        </w:rPr>
        <w:t xml:space="preserve">LEARNING TARGETS</w:t>
      </w:r>
    </w:p>
    <w:p>
      <w:pPr>
        <w:spacing w:line="288" w:lineRule="auto"/>
        <w:jc w:val="left"/>
      </w:pPr>
      <w:r>
        <w:rPr>
          <w:rFonts w:ascii="Arial" w:cs="Arial" w:eastAsia="Arial" w:hAnsi="Arial"/>
          <w:b w:val="false"/>
          <w:bCs w:val="false"/>
          <w:i w:val="false"/>
          <w:iCs w:val="false"/>
          <w:color w:val="1B2A4A"/>
          <w:sz w:val="22"/>
          <w:szCs w:val="22"/>
        </w:rPr>
        <w:t xml:space="preserve">1. Define a subsidy and identify three major federal subsidy programs (the Farm Bill, the EV tax credit, the solar Investment Tax Credit) by their dollar size and policy goal.</w:t>
      </w:r>
    </w:p>
    <w:p>
      <w:pPr>
        <w:spacing w:line="288" w:lineRule="auto"/>
        <w:jc w:val="left"/>
      </w:pPr>
      <w:r>
        <w:rPr>
          <w:rFonts w:ascii="Arial" w:cs="Arial" w:eastAsia="Arial" w:hAnsi="Arial"/>
          <w:b w:val="false"/>
          <w:bCs w:val="false"/>
          <w:i w:val="false"/>
          <w:iCs w:val="false"/>
          <w:color w:val="1B2A4A"/>
          <w:sz w:val="22"/>
          <w:szCs w:val="22"/>
        </w:rPr>
        <w:t xml:space="preserve">2. Apply supply-and-demand analysis to a subsidy: show how it shifts the supply curve right, lowers the price consumers pay, and raises the quantity bought.</w:t>
      </w:r>
    </w:p>
    <w:p>
      <w:pPr>
        <w:spacing w:line="288" w:lineRule="auto"/>
        <w:jc w:val="left"/>
      </w:pPr>
      <w:r>
        <w:rPr>
          <w:rFonts w:ascii="Arial" w:cs="Arial" w:eastAsia="Arial" w:hAnsi="Arial"/>
          <w:b w:val="false"/>
          <w:bCs w:val="false"/>
          <w:i w:val="false"/>
          <w:iCs w:val="false"/>
          <w:color w:val="1B2A4A"/>
          <w:sz w:val="22"/>
          <w:szCs w:val="22"/>
        </w:rPr>
        <w:t xml:space="preserve">3. Evaluate the winners and losers of each subsidy: who collects the dollars, who pays through higher taxes or higher prices, and what market distortions the subsidy creates.</w:t>
      </w:r>
    </w:p>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 Is a Subsidy?</w:t>
      </w:r>
    </w:p>
    <w:p>
      <w:pPr>
        <w:keepNext/>
        <w:spacing w:line="288" w:lineRule="auto"/>
        <w:jc w:val="left"/>
      </w:pPr>
      <w:r>
        <w:rPr>
          <w:rFonts w:ascii="Trebuchet MS" w:cs="Trebuchet MS" w:eastAsia="Trebuchet MS" w:hAnsi="Trebuchet MS"/>
          <w:b/>
          <w:bCs/>
          <w:i w:val="false"/>
          <w:iCs w:val="false"/>
          <w:color w:val="1B2A4A"/>
          <w:sz w:val="26"/>
          <w:szCs w:val="26"/>
        </w:rPr>
        <w:t xml:space="preserve">Definition and Two Delivery Methods</w:t>
      </w:r>
    </w:p>
    <w:p>
      <w:pPr>
        <w:spacing w:line="336" w:lineRule="auto"/>
      </w:pPr>
      <w:r>
        <w:rPr>
          <w:rFonts w:ascii="Arial" w:cs="Arial" w:eastAsia="Arial" w:hAnsi="Arial"/>
          <w:color w:val="333333"/>
          <w:sz w:val="22"/>
          <w:szCs w:val="22"/>
        </w:rPr>
        <w:t xml:space="preserve">A SUBSIDY is a government </w:t>
      </w:r>
      <w:r>
        <w:rPr>
          <w:rFonts w:ascii="Arial" w:cs="Arial" w:eastAsia="Arial" w:hAnsi="Arial"/>
          <w:b/>
          <w:bCs/>
          <w:i/>
          <w:iCs/>
          <w:color w:val="145F58"/>
          <w:sz w:val="22"/>
          <w:szCs w:val="22"/>
          <w:u w:val="single" w:color="145F58"/>
        </w:rPr>
        <w:t xml:space="preserve">payment</w:t>
      </w:r>
      <w:r>
        <w:rPr>
          <w:rFonts w:ascii="Arial" w:cs="Arial" w:eastAsia="Arial" w:hAnsi="Arial"/>
          <w:color w:val="333333"/>
          <w:sz w:val="22"/>
          <w:szCs w:val="22"/>
        </w:rPr>
        <w:t xml:space="preserve"> to producers (or sometimes buyers) that lowers cost.</w:t>
      </w:r>
    </w:p>
    <w:p>
      <w:pPr>
        <w:spacing w:line="336" w:lineRule="auto"/>
      </w:pPr>
      <w:r>
        <w:rPr>
          <w:rFonts w:ascii="Arial" w:cs="Arial" w:eastAsia="Arial" w:hAnsi="Arial"/>
          <w:color w:val="333333"/>
          <w:sz w:val="22"/>
          <w:szCs w:val="22"/>
        </w:rPr>
        <w:t xml:space="preserve">The two main delivery methods are a CASH PAYMENT or a TAX </w:t>
      </w:r>
      <w:r>
        <w:rPr>
          <w:rFonts w:ascii="Arial" w:cs="Arial" w:eastAsia="Arial" w:hAnsi="Arial"/>
          <w:b/>
          <w:bCs/>
          <w:i/>
          <w:iCs/>
          <w:color w:val="145F58"/>
          <w:sz w:val="22"/>
          <w:szCs w:val="22"/>
          <w:u w:val="single" w:color="145F58"/>
        </w:rPr>
        <w:t xml:space="preserve">credit</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Both methods lower the producer's </w:t>
      </w:r>
      <w:r>
        <w:rPr>
          <w:rFonts w:ascii="Arial" w:cs="Arial" w:eastAsia="Arial" w:hAnsi="Arial"/>
          <w:b/>
          <w:bCs/>
          <w:i/>
          <w:iCs/>
          <w:color w:val="145F58"/>
          <w:sz w:val="22"/>
          <w:szCs w:val="22"/>
          <w:u w:val="single" w:color="145F58"/>
        </w:rPr>
        <w:t xml:space="preserve">cost</w:t>
      </w:r>
      <w:r>
        <w:rPr>
          <w:rFonts w:ascii="Arial" w:cs="Arial" w:eastAsia="Arial" w:hAnsi="Arial"/>
          <w:color w:val="333333"/>
          <w:sz w:val="22"/>
          <w:szCs w:val="22"/>
        </w:rPr>
        <w:t xml:space="preserve"> per unit.</w:t>
      </w:r>
    </w:p>
    <w:p>
      <w:pPr>
        <w:spacing w:line="336" w:lineRule="auto"/>
      </w:pPr>
      <w:r>
        <w:rPr>
          <w:rFonts w:ascii="Arial" w:cs="Arial" w:eastAsia="Arial" w:hAnsi="Arial"/>
          <w:color w:val="333333"/>
          <w:sz w:val="22"/>
          <w:szCs w:val="22"/>
        </w:rPr>
        <w:t xml:space="preserve">Both methods shift the </w:t>
      </w:r>
      <w:r>
        <w:rPr>
          <w:rFonts w:ascii="Arial" w:cs="Arial" w:eastAsia="Arial" w:hAnsi="Arial"/>
          <w:b/>
          <w:bCs/>
          <w:i/>
          <w:iCs/>
          <w:color w:val="145F58"/>
          <w:sz w:val="22"/>
          <w:szCs w:val="22"/>
          <w:u w:val="single" w:color="145F58"/>
        </w:rPr>
        <w:t xml:space="preserve">supply</w:t>
      </w:r>
      <w:r>
        <w:rPr>
          <w:rFonts w:ascii="Arial" w:cs="Arial" w:eastAsia="Arial" w:hAnsi="Arial"/>
          <w:color w:val="333333"/>
          <w:sz w:val="22"/>
          <w:szCs w:val="22"/>
        </w:rPr>
        <w:t xml:space="preserve"> curve to the right.</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2</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Supply-Shift Mechanic</w:t>
      </w:r>
    </w:p>
    <w:p>
      <w:pPr>
        <w:keepNext/>
        <w:spacing w:line="288" w:lineRule="auto"/>
        <w:jc w:val="left"/>
      </w:pPr>
      <w:r>
        <w:rPr>
          <w:rFonts w:ascii="Trebuchet MS" w:cs="Trebuchet MS" w:eastAsia="Trebuchet MS" w:hAnsi="Trebuchet MS"/>
          <w:b/>
          <w:bCs/>
          <w:i w:val="false"/>
          <w:iCs w:val="false"/>
          <w:color w:val="1B2A4A"/>
          <w:sz w:val="26"/>
          <w:szCs w:val="26"/>
        </w:rPr>
        <w:t xml:space="preserve">How a Subsidy Shifts Supply</w:t>
      </w:r>
    </w:p>
    <w:p>
      <w:pPr>
        <w:spacing w:line="336" w:lineRule="auto"/>
      </w:pPr>
      <w:r>
        <w:rPr>
          <w:rFonts w:ascii="Arial" w:cs="Arial" w:eastAsia="Arial" w:hAnsi="Arial"/>
          <w:color w:val="333333"/>
          <w:sz w:val="22"/>
          <w:szCs w:val="22"/>
        </w:rPr>
        <w:t xml:space="preserve">A subsidy lowers the cost for every producer, so the supply curve shifts DOWN and to the </w:t>
      </w:r>
      <w:r>
        <w:rPr>
          <w:rFonts w:ascii="Arial" w:cs="Arial" w:eastAsia="Arial" w:hAnsi="Arial"/>
          <w:b/>
          <w:bCs/>
          <w:i/>
          <w:iCs/>
          <w:color w:val="145F58"/>
          <w:sz w:val="22"/>
          <w:szCs w:val="22"/>
          <w:u w:val="single" w:color="145F58"/>
        </w:rPr>
        <w:t xml:space="preserve">right</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At the new equilibrium, the CONSUMER PRICE is </w:t>
      </w:r>
      <w:r>
        <w:rPr>
          <w:rFonts w:ascii="Arial" w:cs="Arial" w:eastAsia="Arial" w:hAnsi="Arial"/>
          <w:b/>
          <w:bCs/>
          <w:i/>
          <w:iCs/>
          <w:color w:val="145F58"/>
          <w:sz w:val="22"/>
          <w:szCs w:val="22"/>
          <w:u w:val="single" w:color="145F58"/>
        </w:rPr>
        <w:t xml:space="preserve">lower</w:t>
      </w:r>
      <w:r>
        <w:rPr>
          <w:rFonts w:ascii="Arial" w:cs="Arial" w:eastAsia="Arial" w:hAnsi="Arial"/>
          <w:color w:val="333333"/>
          <w:sz w:val="22"/>
          <w:szCs w:val="22"/>
        </w:rPr>
        <w:t xml:space="preserve"> than before.</w:t>
      </w:r>
    </w:p>
    <w:p>
      <w:pPr>
        <w:spacing w:line="336" w:lineRule="auto"/>
      </w:pPr>
      <w:r>
        <w:rPr>
          <w:rFonts w:ascii="Arial" w:cs="Arial" w:eastAsia="Arial" w:hAnsi="Arial"/>
          <w:color w:val="333333"/>
          <w:sz w:val="22"/>
          <w:szCs w:val="22"/>
        </w:rPr>
        <w:t xml:space="preserve">At the new equilibrium, the quantity sold is </w:t>
      </w:r>
      <w:r>
        <w:rPr>
          <w:rFonts w:ascii="Arial" w:cs="Arial" w:eastAsia="Arial" w:hAnsi="Arial"/>
          <w:b/>
          <w:bCs/>
          <w:i/>
          <w:iCs/>
          <w:color w:val="145F58"/>
          <w:sz w:val="22"/>
          <w:szCs w:val="22"/>
          <w:u w:val="single" w:color="145F58"/>
        </w:rPr>
        <w:t xml:space="preserve">higher</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The vertical gap between the two supply curves equals the per-unit </w:t>
      </w:r>
      <w:r>
        <w:rPr>
          <w:rFonts w:ascii="Arial" w:cs="Arial" w:eastAsia="Arial" w:hAnsi="Arial"/>
          <w:b/>
          <w:bCs/>
          <w:i/>
          <w:iCs/>
          <w:color w:val="145F58"/>
          <w:sz w:val="22"/>
          <w:szCs w:val="22"/>
          <w:u w:val="single" w:color="145F58"/>
        </w:rPr>
        <w:t xml:space="preserve">subsidy</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The subsidy SPLITS between consumer and </w:t>
      </w:r>
      <w:r>
        <w:rPr>
          <w:rFonts w:ascii="Arial" w:cs="Arial" w:eastAsia="Arial" w:hAnsi="Arial"/>
          <w:b/>
          <w:bCs/>
          <w:i/>
          <w:iCs/>
          <w:color w:val="145F58"/>
          <w:sz w:val="22"/>
          <w:szCs w:val="22"/>
          <w:u w:val="single" w:color="145F58"/>
        </w:rPr>
        <w:t xml:space="preserve">producer</w:t>
      </w:r>
      <w:r>
        <w:rPr>
          <w:rFonts w:ascii="Arial" w:cs="Arial" w:eastAsia="Arial" w:hAnsi="Arial"/>
          <w:color w:val="333333"/>
          <w:sz w:val="22"/>
          <w:szCs w:val="22"/>
        </w:rPr>
        <w:t xml:space="preserve"> - the split depends on elasticities.</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Farm Bill</w:t>
      </w:r>
    </w:p>
    <w:p>
      <w:pPr>
        <w:keepNext/>
        <w:spacing w:line="288" w:lineRule="auto"/>
        <w:jc w:val="left"/>
      </w:pPr>
      <w:r>
        <w:rPr>
          <w:rFonts w:ascii="Trebuchet MS" w:cs="Trebuchet MS" w:eastAsia="Trebuchet MS" w:hAnsi="Trebuchet MS"/>
          <w:b/>
          <w:bCs/>
          <w:i w:val="false"/>
          <w:iCs w:val="false"/>
          <w:color w:val="1B2A4A"/>
          <w:sz w:val="26"/>
          <w:szCs w:val="26"/>
        </w:rPr>
        <w:t xml:space="preserve">Three Buckets of Farm Bill Spending</w:t>
      </w:r>
    </w:p>
    <w:p>
      <w:pPr>
        <w:spacing w:line="336" w:lineRule="auto"/>
      </w:pPr>
      <w:r>
        <w:rPr>
          <w:rFonts w:ascii="Arial" w:cs="Arial" w:eastAsia="Arial" w:hAnsi="Arial"/>
          <w:color w:val="333333"/>
          <w:sz w:val="22"/>
          <w:szCs w:val="22"/>
        </w:rPr>
        <w:t xml:space="preserve">The largest line is CROP </w:t>
      </w:r>
      <w:r>
        <w:rPr>
          <w:rFonts w:ascii="Arial" w:cs="Arial" w:eastAsia="Arial" w:hAnsi="Arial"/>
          <w:b/>
          <w:bCs/>
          <w:i/>
          <w:iCs/>
          <w:color w:val="145F58"/>
          <w:sz w:val="22"/>
          <w:szCs w:val="22"/>
          <w:u w:val="single" w:color="145F58"/>
        </w:rPr>
        <w:t xml:space="preserve">insurance</w:t>
      </w:r>
      <w:r>
        <w:rPr>
          <w:rFonts w:ascii="Arial" w:cs="Arial" w:eastAsia="Arial" w:hAnsi="Arial"/>
          <w:color w:val="333333"/>
          <w:sz w:val="22"/>
          <w:szCs w:val="22"/>
        </w:rPr>
        <w:t xml:space="preserve">, ~$80B over 10 years; the feds pay ~62% of premiums.</w:t>
      </w:r>
    </w:p>
    <w:p>
      <w:pPr>
        <w:spacing w:line="336" w:lineRule="auto"/>
      </w:pPr>
      <w:r>
        <w:rPr>
          <w:rFonts w:ascii="Arial" w:cs="Arial" w:eastAsia="Arial" w:hAnsi="Arial"/>
          <w:color w:val="333333"/>
          <w:sz w:val="22"/>
          <w:szCs w:val="22"/>
        </w:rPr>
        <w:t xml:space="preserve">Commodity supports include PLC (Price Loss Coverage) and </w:t>
      </w:r>
      <w:r>
        <w:rPr>
          <w:rFonts w:ascii="Arial" w:cs="Arial" w:eastAsia="Arial" w:hAnsi="Arial"/>
          <w:b/>
          <w:bCs/>
          <w:i/>
          <w:iCs/>
          <w:color w:val="145F58"/>
          <w:sz w:val="22"/>
          <w:szCs w:val="22"/>
          <w:u w:val="single" w:color="145F58"/>
        </w:rPr>
        <w:t xml:space="preserve">ARC</w:t>
      </w:r>
      <w:r>
        <w:rPr>
          <w:rFonts w:ascii="Arial" w:cs="Arial" w:eastAsia="Arial" w:hAnsi="Arial"/>
          <w:color w:val="333333"/>
          <w:sz w:val="22"/>
          <w:szCs w:val="22"/>
        </w:rPr>
        <w:t xml:space="preserve"> (Agriculture Risk Coverage).</w:t>
      </w:r>
    </w:p>
    <w:p>
      <w:pPr>
        <w:spacing w:line="336" w:lineRule="auto"/>
      </w:pPr>
      <w:r>
        <w:rPr>
          <w:rFonts w:ascii="Arial" w:cs="Arial" w:eastAsia="Arial" w:hAnsi="Arial"/>
          <w:color w:val="333333"/>
          <w:sz w:val="22"/>
          <w:szCs w:val="22"/>
        </w:rPr>
        <w:t xml:space="preserve">SNAP is the largest single program: ~$1.1T over 10 years and pays ~42 million </w:t>
      </w:r>
      <w:r>
        <w:rPr>
          <w:rFonts w:ascii="Arial" w:cs="Arial" w:eastAsia="Arial" w:hAnsi="Arial"/>
          <w:b/>
          <w:bCs/>
          <w:i/>
          <w:iCs/>
          <w:color w:val="145F58"/>
          <w:sz w:val="22"/>
          <w:szCs w:val="22"/>
          <w:u w:val="single" w:color="145F58"/>
        </w:rPr>
        <w:t xml:space="preserve">Americans</w:t>
      </w:r>
      <w:r>
        <w:rPr>
          <w:rFonts w:ascii="Arial" w:cs="Arial" w:eastAsia="Arial" w:hAnsi="Arial"/>
          <w:color w:val="333333"/>
          <w:sz w:val="22"/>
          <w:szCs w:val="22"/>
        </w:rPr>
        <w:t xml:space="preserve"> per month.</w:t>
      </w:r>
    </w:p>
    <w:p>
      <w:pPr>
        <w:spacing w:line="336" w:lineRule="auto"/>
      </w:pPr>
      <w:r>
        <w:rPr>
          <w:rFonts w:ascii="Arial" w:cs="Arial" w:eastAsia="Arial" w:hAnsi="Arial"/>
          <w:color w:val="333333"/>
          <w:sz w:val="22"/>
          <w:szCs w:val="22"/>
        </w:rPr>
        <w:t xml:space="preserve">SNAP is politically BUNDLED with crop subsidies to build a durable </w:t>
      </w:r>
      <w:r>
        <w:rPr>
          <w:rFonts w:ascii="Arial" w:cs="Arial" w:eastAsia="Arial" w:hAnsi="Arial"/>
          <w:b/>
          <w:bCs/>
          <w:i/>
          <w:iCs/>
          <w:color w:val="145F58"/>
          <w:sz w:val="22"/>
          <w:szCs w:val="22"/>
          <w:u w:val="single" w:color="145F58"/>
        </w:rPr>
        <w:t xml:space="preserve">urban-rural</w:t>
      </w:r>
      <w:r>
        <w:rPr>
          <w:rFonts w:ascii="Arial" w:cs="Arial" w:eastAsia="Arial" w:hAnsi="Arial"/>
          <w:color w:val="333333"/>
          <w:sz w:val="22"/>
          <w:szCs w:val="22"/>
        </w:rPr>
        <w:t xml:space="preserve"> coalition.</w:t>
      </w:r>
    </w:p>
    <w:p>
      <w:pPr>
        <w:spacing w:line="336" w:lineRule="auto"/>
      </w:pPr>
      <w:r>
        <w:rPr>
          <w:rFonts w:ascii="Arial" w:cs="Arial" w:eastAsia="Arial" w:hAnsi="Arial"/>
          <w:color w:val="333333"/>
          <w:sz w:val="22"/>
          <w:szCs w:val="22"/>
        </w:rPr>
        <w:t xml:space="preserve">About two-thirds of crop insurance and commodity payments go to four crops: corn, soybeans, wheat, and </w:t>
      </w:r>
      <w:r>
        <w:rPr>
          <w:rFonts w:ascii="Arial" w:cs="Arial" w:eastAsia="Arial" w:hAnsi="Arial"/>
          <w:b/>
          <w:bCs/>
          <w:i/>
          <w:iCs/>
          <w:color w:val="145F58"/>
          <w:sz w:val="22"/>
          <w:szCs w:val="22"/>
          <w:u w:val="single" w:color="145F58"/>
        </w:rPr>
        <w:t xml:space="preserve">cotton</w:t>
      </w:r>
      <w:r>
        <w:rPr>
          <w:rFonts w:ascii="Arial" w:cs="Arial" w:eastAsia="Arial" w:hAnsi="Arial"/>
          <w:color w:val="333333"/>
          <w:sz w:val="22"/>
          <w:szCs w:val="22"/>
        </w:rPr>
        <w:t xml:space="preserv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EV Tax Credit Under the IRA</w:t>
      </w:r>
    </w:p>
    <w:p>
      <w:pPr>
        <w:keepNext/>
        <w:spacing w:line="288" w:lineRule="auto"/>
        <w:jc w:val="left"/>
      </w:pPr>
      <w:r>
        <w:rPr>
          <w:rFonts w:ascii="Trebuchet MS" w:cs="Trebuchet MS" w:eastAsia="Trebuchet MS" w:hAnsi="Trebuchet MS"/>
          <w:b/>
          <w:bCs/>
          <w:i w:val="false"/>
          <w:iCs w:val="false"/>
          <w:color w:val="1B2A4A"/>
          <w:sz w:val="26"/>
          <w:szCs w:val="26"/>
        </w:rPr>
        <w:t xml:space="preserve">EV Credit Structure</w:t>
      </w:r>
    </w:p>
    <w:p>
      <w:pPr>
        <w:spacing w:line="336" w:lineRule="auto"/>
      </w:pPr>
      <w:r>
        <w:rPr>
          <w:rFonts w:ascii="Arial" w:cs="Arial" w:eastAsia="Arial" w:hAnsi="Arial"/>
          <w:color w:val="333333"/>
          <w:sz w:val="22"/>
          <w:szCs w:val="22"/>
        </w:rPr>
        <w:t xml:space="preserve">The 2022 IRA created an EV tax credit of up to $</w:t>
      </w:r>
      <w:r>
        <w:rPr>
          <w:rFonts w:ascii="Arial" w:cs="Arial" w:eastAsia="Arial" w:hAnsi="Arial"/>
          <w:b/>
          <w:bCs/>
          <w:i/>
          <w:iCs/>
          <w:color w:val="145F58"/>
          <w:sz w:val="22"/>
          <w:szCs w:val="22"/>
          <w:u w:val="single" w:color="145F58"/>
        </w:rPr>
        <w:t xml:space="preserve">7,500</w:t>
      </w:r>
      <w:r>
        <w:rPr>
          <w:rFonts w:ascii="Arial" w:cs="Arial" w:eastAsia="Arial" w:hAnsi="Arial"/>
          <w:color w:val="333333"/>
          <w:sz w:val="22"/>
          <w:szCs w:val="22"/>
        </w:rPr>
        <w:t xml:space="preserve"> per new electric vehicle.</w:t>
      </w:r>
    </w:p>
    <w:p>
      <w:pPr>
        <w:spacing w:line="336" w:lineRule="auto"/>
      </w:pPr>
      <w:r>
        <w:rPr>
          <w:rFonts w:ascii="Arial" w:cs="Arial" w:eastAsia="Arial" w:hAnsi="Arial"/>
          <w:color w:val="333333"/>
          <w:sz w:val="22"/>
          <w:szCs w:val="22"/>
        </w:rPr>
        <w:t xml:space="preserve">The used-EV version of the credit is up to $</w:t>
      </w:r>
      <w:r>
        <w:rPr>
          <w:rFonts w:ascii="Arial" w:cs="Arial" w:eastAsia="Arial" w:hAnsi="Arial"/>
          <w:b/>
          <w:bCs/>
          <w:i/>
          <w:iCs/>
          <w:color w:val="145F58"/>
          <w:sz w:val="22"/>
          <w:szCs w:val="22"/>
          <w:u w:val="single" w:color="145F58"/>
        </w:rPr>
        <w:t xml:space="preserve">4,000</w:t>
      </w:r>
      <w:r>
        <w:rPr>
          <w:rFonts w:ascii="Arial" w:cs="Arial" w:eastAsia="Arial" w:hAnsi="Arial"/>
          <w:color w:val="333333"/>
          <w:sz w:val="22"/>
          <w:szCs w:val="22"/>
        </w:rPr>
        <w:t xml:space="preserve"> per vehicle.</w:t>
      </w:r>
    </w:p>
    <w:p>
      <w:pPr>
        <w:spacing w:line="336" w:lineRule="auto"/>
      </w:pPr>
      <w:r>
        <w:rPr>
          <w:rFonts w:ascii="Arial" w:cs="Arial" w:eastAsia="Arial" w:hAnsi="Arial"/>
          <w:color w:val="333333"/>
          <w:sz w:val="22"/>
          <w:szCs w:val="22"/>
        </w:rPr>
        <w:t xml:space="preserve">The household income cap is $300K joint / $</w:t>
      </w:r>
      <w:r>
        <w:rPr>
          <w:rFonts w:ascii="Arial" w:cs="Arial" w:eastAsia="Arial" w:hAnsi="Arial"/>
          <w:b/>
          <w:bCs/>
          <w:i/>
          <w:iCs/>
          <w:color w:val="145F58"/>
          <w:sz w:val="22"/>
          <w:szCs w:val="22"/>
          <w:u w:val="single" w:color="145F58"/>
        </w:rPr>
        <w:t xml:space="preserve">150,000</w:t>
      </w:r>
      <w:r>
        <w:rPr>
          <w:rFonts w:ascii="Arial" w:cs="Arial" w:eastAsia="Arial" w:hAnsi="Arial"/>
          <w:color w:val="333333"/>
          <w:sz w:val="22"/>
          <w:szCs w:val="22"/>
        </w:rPr>
        <w:t xml:space="preserve"> single.</w:t>
      </w:r>
    </w:p>
    <w:p>
      <w:pPr>
        <w:spacing w:line="336" w:lineRule="auto"/>
      </w:pPr>
      <w:r>
        <w:rPr>
          <w:rFonts w:ascii="Arial" w:cs="Arial" w:eastAsia="Arial" w:hAnsi="Arial"/>
          <w:color w:val="333333"/>
          <w:sz w:val="22"/>
          <w:szCs w:val="22"/>
        </w:rPr>
        <w:t xml:space="preserve">The sourcing rule requires FINAL ASSEMBLY in </w:t>
      </w:r>
      <w:r>
        <w:rPr>
          <w:rFonts w:ascii="Arial" w:cs="Arial" w:eastAsia="Arial" w:hAnsi="Arial"/>
          <w:b/>
          <w:bCs/>
          <w:i/>
          <w:iCs/>
          <w:color w:val="145F58"/>
          <w:sz w:val="22"/>
          <w:szCs w:val="22"/>
          <w:u w:val="single" w:color="145F58"/>
        </w:rPr>
        <w:t xml:space="preserve">North</w:t>
      </w:r>
      <w:r>
        <w:rPr>
          <w:rFonts w:ascii="Arial" w:cs="Arial" w:eastAsia="Arial" w:hAnsi="Arial"/>
          <w:color w:val="333333"/>
          <w:sz w:val="22"/>
          <w:szCs w:val="22"/>
        </w:rPr>
        <w:t xml:space="preserve"> America.</w:t>
      </w:r>
    </w:p>
    <w:p>
      <w:pPr>
        <w:spacing w:line="336" w:lineRule="auto"/>
      </w:pPr>
      <w:r>
        <w:rPr>
          <w:rFonts w:ascii="Arial" w:cs="Arial" w:eastAsia="Arial" w:hAnsi="Arial"/>
          <w:color w:val="333333"/>
          <w:sz w:val="22"/>
          <w:szCs w:val="22"/>
        </w:rPr>
        <w:t xml:space="preserve">In 2024 the credit became transferable to the </w:t>
      </w:r>
      <w:r>
        <w:rPr>
          <w:rFonts w:ascii="Arial" w:cs="Arial" w:eastAsia="Arial" w:hAnsi="Arial"/>
          <w:b/>
          <w:bCs/>
          <w:i/>
          <w:iCs/>
          <w:color w:val="145F58"/>
          <w:sz w:val="22"/>
          <w:szCs w:val="22"/>
          <w:u w:val="single" w:color="145F58"/>
        </w:rPr>
        <w:t xml:space="preserve">dealer</w:t>
      </w:r>
      <w:r>
        <w:rPr>
          <w:rFonts w:ascii="Arial" w:cs="Arial" w:eastAsia="Arial" w:hAnsi="Arial"/>
          <w:color w:val="333333"/>
          <w:sz w:val="22"/>
          <w:szCs w:val="22"/>
        </w:rPr>
        <w:t xml:space="preserve"> at point of sale.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Solar Investment Tax Credit</w:t>
      </w:r>
    </w:p>
    <w:p>
      <w:pPr>
        <w:keepNext/>
        <w:spacing w:line="288" w:lineRule="auto"/>
        <w:jc w:val="left"/>
      </w:pPr>
      <w:r>
        <w:rPr>
          <w:rFonts w:ascii="Trebuchet MS" w:cs="Trebuchet MS" w:eastAsia="Trebuchet MS" w:hAnsi="Trebuchet MS"/>
          <w:b/>
          <w:bCs/>
          <w:i w:val="false"/>
          <w:iCs w:val="false"/>
          <w:color w:val="1B2A4A"/>
          <w:sz w:val="26"/>
          <w:szCs w:val="26"/>
        </w:rPr>
        <w:t xml:space="preserve">Solar ITC Mechanics</w:t>
      </w:r>
    </w:p>
    <w:p>
      <w:pPr>
        <w:spacing w:line="336" w:lineRule="auto"/>
      </w:pPr>
      <w:r>
        <w:rPr>
          <w:rFonts w:ascii="Arial" w:cs="Arial" w:eastAsia="Arial" w:hAnsi="Arial"/>
          <w:color w:val="333333"/>
          <w:sz w:val="22"/>
          <w:szCs w:val="22"/>
        </w:rPr>
        <w:t xml:space="preserve">The residential Solar ITC is a federal tax credit equal to </w:t>
      </w:r>
      <w:r>
        <w:rPr>
          <w:rFonts w:ascii="Arial" w:cs="Arial" w:eastAsia="Arial" w:hAnsi="Arial"/>
          <w:b/>
          <w:bCs/>
          <w:i/>
          <w:iCs/>
          <w:color w:val="145F58"/>
          <w:sz w:val="22"/>
          <w:szCs w:val="22"/>
          <w:u w:val="single" w:color="145F58"/>
        </w:rPr>
        <w:t xml:space="preserve">30</w:t>
      </w:r>
      <w:r>
        <w:rPr>
          <w:rFonts w:ascii="Arial" w:cs="Arial" w:eastAsia="Arial" w:hAnsi="Arial"/>
          <w:color w:val="333333"/>
          <w:sz w:val="22"/>
          <w:szCs w:val="22"/>
        </w:rPr>
        <w:t xml:space="preserve"> percent of the installed system cost.</w:t>
      </w:r>
    </w:p>
    <w:p>
      <w:pPr>
        <w:spacing w:line="336" w:lineRule="auto"/>
      </w:pPr>
      <w:r>
        <w:rPr>
          <w:rFonts w:ascii="Arial" w:cs="Arial" w:eastAsia="Arial" w:hAnsi="Arial"/>
          <w:color w:val="333333"/>
          <w:sz w:val="22"/>
          <w:szCs w:val="22"/>
        </w:rPr>
        <w:t xml:space="preserve">The 30 percent rate steps down to 22 percent in </w:t>
      </w:r>
      <w:r>
        <w:rPr>
          <w:rFonts w:ascii="Arial" w:cs="Arial" w:eastAsia="Arial" w:hAnsi="Arial"/>
          <w:b/>
          <w:bCs/>
          <w:i/>
          <w:iCs/>
          <w:color w:val="145F58"/>
          <w:sz w:val="22"/>
          <w:szCs w:val="22"/>
          <w:u w:val="single" w:color="145F58"/>
        </w:rPr>
        <w:t xml:space="preserve">2034</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The commercial ITC adds a 10 percent bonus for domestic </w:t>
      </w:r>
      <w:r>
        <w:rPr>
          <w:rFonts w:ascii="Arial" w:cs="Arial" w:eastAsia="Arial" w:hAnsi="Arial"/>
          <w:b/>
          <w:bCs/>
          <w:i/>
          <w:iCs/>
          <w:color w:val="145F58"/>
          <w:sz w:val="22"/>
          <w:szCs w:val="22"/>
          <w:u w:val="single" w:color="145F58"/>
        </w:rPr>
        <w:t xml:space="preserve">content</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Total commercial ITC can stack to 40-50 percent with low-income and labor </w:t>
      </w:r>
      <w:r>
        <w:rPr>
          <w:rFonts w:ascii="Arial" w:cs="Arial" w:eastAsia="Arial" w:hAnsi="Arial"/>
          <w:b/>
          <w:bCs/>
          <w:i/>
          <w:iCs/>
          <w:color w:val="145F58"/>
          <w:sz w:val="22"/>
          <w:szCs w:val="22"/>
          <w:u w:val="single" w:color="145F58"/>
        </w:rPr>
        <w:t xml:space="preserve">bonuses</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The IRA also includes a Production Tax Credit (PTC) for wind, hydrogen, and clean </w:t>
      </w:r>
      <w:r>
        <w:rPr>
          <w:rFonts w:ascii="Arial" w:cs="Arial" w:eastAsia="Arial" w:hAnsi="Arial"/>
          <w:b/>
          <w:bCs/>
          <w:i/>
          <w:iCs/>
          <w:color w:val="145F58"/>
          <w:sz w:val="22"/>
          <w:szCs w:val="22"/>
          <w:u w:val="single" w:color="145F58"/>
        </w:rPr>
        <w:t xml:space="preserve">manufacturing</w:t>
      </w:r>
      <w:r>
        <w:rPr>
          <w:rFonts w:ascii="Arial" w:cs="Arial" w:eastAsia="Arial" w:hAnsi="Arial"/>
          <w:color w:val="333333"/>
          <w:sz w:val="22"/>
          <w:szCs w:val="22"/>
        </w:rPr>
        <w:t xml:space="preserv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6</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Top 5 Federal Subsidies</w:t>
      </w:r>
    </w:p>
    <w:p>
      <w:pPr>
        <w:keepNext/>
        <w:spacing w:line="288" w:lineRule="auto"/>
        <w:jc w:val="left"/>
      </w:pPr>
      <w:r>
        <w:rPr>
          <w:rFonts w:ascii="Trebuchet MS" w:cs="Trebuchet MS" w:eastAsia="Trebuchet MS" w:hAnsi="Trebuchet MS"/>
          <w:b/>
          <w:bCs/>
          <w:i w:val="false"/>
          <w:iCs w:val="false"/>
          <w:color w:val="1B2A4A"/>
          <w:sz w:val="26"/>
          <w:szCs w:val="26"/>
        </w:rPr>
        <w:t xml:space="preserve">Federal Subsidy Sizes</w:t>
      </w:r>
    </w:p>
    <w:p>
      <w:pPr>
        <w:spacing w:line="336" w:lineRule="auto"/>
      </w:pPr>
      <w:r>
        <w:rPr>
          <w:rFonts w:ascii="Arial" w:cs="Arial" w:eastAsia="Arial" w:hAnsi="Arial"/>
          <w:color w:val="333333"/>
          <w:sz w:val="22"/>
          <w:szCs w:val="22"/>
        </w:rPr>
        <w:t xml:space="preserve">The IRA Clean-Energy Credits are about $</w:t>
      </w:r>
      <w:r>
        <w:rPr>
          <w:rFonts w:ascii="Arial" w:cs="Arial" w:eastAsia="Arial" w:hAnsi="Arial"/>
          <w:b/>
          <w:bCs/>
          <w:i/>
          <w:iCs/>
          <w:color w:val="145F58"/>
          <w:sz w:val="22"/>
          <w:szCs w:val="22"/>
          <w:u w:val="single" w:color="145F58"/>
        </w:rPr>
        <w:t xml:space="preserve">37</w:t>
      </w:r>
      <w:r>
        <w:rPr>
          <w:rFonts w:ascii="Arial" w:cs="Arial" w:eastAsia="Arial" w:hAnsi="Arial"/>
          <w:color w:val="333333"/>
          <w:sz w:val="22"/>
          <w:szCs w:val="22"/>
        </w:rPr>
        <w:t xml:space="preserve"> billion per year (blended decade average).</w:t>
      </w:r>
    </w:p>
    <w:p>
      <w:pPr>
        <w:spacing w:line="336" w:lineRule="auto"/>
      </w:pPr>
      <w:r>
        <w:rPr>
          <w:rFonts w:ascii="Arial" w:cs="Arial" w:eastAsia="Arial" w:hAnsi="Arial"/>
          <w:color w:val="333333"/>
          <w:sz w:val="22"/>
          <w:szCs w:val="22"/>
        </w:rPr>
        <w:t xml:space="preserve">The Farm Bill commodity supports and crop insurance total about $</w:t>
      </w:r>
      <w:r>
        <w:rPr>
          <w:rFonts w:ascii="Arial" w:cs="Arial" w:eastAsia="Arial" w:hAnsi="Arial"/>
          <w:b/>
          <w:bCs/>
          <w:i/>
          <w:iCs/>
          <w:color w:val="145F58"/>
          <w:sz w:val="22"/>
          <w:szCs w:val="22"/>
          <w:u w:val="single" w:color="145F58"/>
        </w:rPr>
        <w:t xml:space="preserve">30</w:t>
      </w:r>
      <w:r>
        <w:rPr>
          <w:rFonts w:ascii="Arial" w:cs="Arial" w:eastAsia="Arial" w:hAnsi="Arial"/>
          <w:color w:val="333333"/>
          <w:sz w:val="22"/>
          <w:szCs w:val="22"/>
        </w:rPr>
        <w:t xml:space="preserve"> billion per year.</w:t>
      </w:r>
    </w:p>
    <w:p>
      <w:pPr>
        <w:spacing w:line="336" w:lineRule="auto"/>
      </w:pPr>
      <w:r>
        <w:rPr>
          <w:rFonts w:ascii="Arial" w:cs="Arial" w:eastAsia="Arial" w:hAnsi="Arial"/>
          <w:color w:val="333333"/>
          <w:sz w:val="22"/>
          <w:szCs w:val="22"/>
        </w:rPr>
        <w:t xml:space="preserve">The Solar ITC costs about $</w:t>
      </w:r>
      <w:r>
        <w:rPr>
          <w:rFonts w:ascii="Arial" w:cs="Arial" w:eastAsia="Arial" w:hAnsi="Arial"/>
          <w:b/>
          <w:bCs/>
          <w:i/>
          <w:iCs/>
          <w:color w:val="145F58"/>
          <w:sz w:val="22"/>
          <w:szCs w:val="22"/>
          <w:u w:val="single" w:color="145F58"/>
        </w:rPr>
        <w:t xml:space="preserve">8</w:t>
      </w:r>
      <w:r>
        <w:rPr>
          <w:rFonts w:ascii="Arial" w:cs="Arial" w:eastAsia="Arial" w:hAnsi="Arial"/>
          <w:color w:val="333333"/>
          <w:sz w:val="22"/>
          <w:szCs w:val="22"/>
        </w:rPr>
        <w:t xml:space="preserve"> billion per year.</w:t>
      </w:r>
    </w:p>
    <w:p>
      <w:pPr>
        <w:spacing w:line="336" w:lineRule="auto"/>
      </w:pPr>
      <w:r>
        <w:rPr>
          <w:rFonts w:ascii="Arial" w:cs="Arial" w:eastAsia="Arial" w:hAnsi="Arial"/>
          <w:color w:val="333333"/>
          <w:sz w:val="22"/>
          <w:szCs w:val="22"/>
        </w:rPr>
        <w:t xml:space="preserve">The EV Tax Credit costs about $</w:t>
      </w:r>
      <w:r>
        <w:rPr>
          <w:rFonts w:ascii="Arial" w:cs="Arial" w:eastAsia="Arial" w:hAnsi="Arial"/>
          <w:b/>
          <w:bCs/>
          <w:i/>
          <w:iCs/>
          <w:color w:val="145F58"/>
          <w:sz w:val="22"/>
          <w:szCs w:val="22"/>
          <w:u w:val="single" w:color="145F58"/>
        </w:rPr>
        <w:t xml:space="preserve">7</w:t>
      </w:r>
      <w:r>
        <w:rPr>
          <w:rFonts w:ascii="Arial" w:cs="Arial" w:eastAsia="Arial" w:hAnsi="Arial"/>
          <w:color w:val="333333"/>
          <w:sz w:val="22"/>
          <w:szCs w:val="22"/>
        </w:rPr>
        <w:t xml:space="preserve"> billion per year at full ramp.</w:t>
      </w:r>
    </w:p>
    <w:p>
      <w:pPr>
        <w:spacing w:line="336" w:lineRule="auto"/>
      </w:pPr>
      <w:r>
        <w:rPr>
          <w:rFonts w:ascii="Arial" w:cs="Arial" w:eastAsia="Arial" w:hAnsi="Arial"/>
          <w:color w:val="333333"/>
          <w:sz w:val="22"/>
          <w:szCs w:val="22"/>
        </w:rPr>
        <w:t xml:space="preserve">The CHIPS Act semiconductor subsidies total about $</w:t>
      </w:r>
      <w:r>
        <w:rPr>
          <w:rFonts w:ascii="Arial" w:cs="Arial" w:eastAsia="Arial" w:hAnsi="Arial"/>
          <w:b/>
          <w:bCs/>
          <w:i/>
          <w:iCs/>
          <w:color w:val="145F58"/>
          <w:sz w:val="22"/>
          <w:szCs w:val="22"/>
          <w:u w:val="single" w:color="145F58"/>
        </w:rPr>
        <w:t xml:space="preserve">5</w:t>
      </w:r>
      <w:r>
        <w:rPr>
          <w:rFonts w:ascii="Arial" w:cs="Arial" w:eastAsia="Arial" w:hAnsi="Arial"/>
          <w:color w:val="333333"/>
          <w:sz w:val="22"/>
          <w:szCs w:val="22"/>
        </w:rPr>
        <w:t xml:space="preserve"> billion per year average.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Who Benefits, Who Pays</w:t>
      </w:r>
    </w:p>
    <w:p>
      <w:pPr>
        <w:keepNext/>
        <w:spacing w:line="288" w:lineRule="auto"/>
        <w:jc w:val="left"/>
      </w:pPr>
      <w:r>
        <w:rPr>
          <w:rFonts w:ascii="Trebuchet MS" w:cs="Trebuchet MS" w:eastAsia="Trebuchet MS" w:hAnsi="Trebuchet MS"/>
          <w:b/>
          <w:bCs/>
          <w:i w:val="false"/>
          <w:iCs w:val="false"/>
          <w:color w:val="1B2A4A"/>
          <w:sz w:val="26"/>
          <w:szCs w:val="26"/>
        </w:rPr>
        <w:t xml:space="preserve">Subsidy Incidence</w:t>
      </w:r>
    </w:p>
    <w:p>
      <w:pPr>
        <w:spacing w:line="336" w:lineRule="auto"/>
      </w:pPr>
      <w:r>
        <w:rPr>
          <w:rFonts w:ascii="Arial" w:cs="Arial" w:eastAsia="Arial" w:hAnsi="Arial"/>
          <w:color w:val="333333"/>
          <w:sz w:val="22"/>
          <w:szCs w:val="22"/>
        </w:rPr>
        <w:t xml:space="preserve">Direct beneficiaries include subsidy recipients (farmers, EV buyers, solar </w:t>
      </w:r>
      <w:r>
        <w:rPr>
          <w:rFonts w:ascii="Arial" w:cs="Arial" w:eastAsia="Arial" w:hAnsi="Arial"/>
          <w:b/>
          <w:bCs/>
          <w:i/>
          <w:iCs/>
          <w:color w:val="145F58"/>
          <w:sz w:val="22"/>
          <w:szCs w:val="22"/>
          <w:u w:val="single" w:color="145F58"/>
        </w:rPr>
        <w:t xml:space="preserve">installers</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Direct payers are federal </w:t>
      </w:r>
      <w:r>
        <w:rPr>
          <w:rFonts w:ascii="Arial" w:cs="Arial" w:eastAsia="Arial" w:hAnsi="Arial"/>
          <w:b/>
          <w:bCs/>
          <w:i/>
          <w:iCs/>
          <w:color w:val="145F58"/>
          <w:sz w:val="22"/>
          <w:szCs w:val="22"/>
          <w:u w:val="single" w:color="145F58"/>
        </w:rPr>
        <w:t xml:space="preserve">taxpayers</w:t>
      </w:r>
      <w:r>
        <w:rPr>
          <w:rFonts w:ascii="Arial" w:cs="Arial" w:eastAsia="Arial" w:hAnsi="Arial"/>
          <w:color w:val="333333"/>
          <w:sz w:val="22"/>
          <w:szCs w:val="22"/>
        </w:rPr>
        <w:t xml:space="preserve"> through forgone tax revenue.</w:t>
      </w:r>
    </w:p>
    <w:p>
      <w:pPr>
        <w:spacing w:line="336" w:lineRule="auto"/>
      </w:pPr>
      <w:r>
        <w:rPr>
          <w:rFonts w:ascii="Arial" w:cs="Arial" w:eastAsia="Arial" w:hAnsi="Arial"/>
          <w:color w:val="333333"/>
          <w:sz w:val="22"/>
          <w:szCs w:val="22"/>
        </w:rPr>
        <w:t xml:space="preserve">Hidden costs include consumers of unsubsidized substitutes and consumers of sugar (because of the sugar </w:t>
      </w:r>
      <w:r>
        <w:rPr>
          <w:rFonts w:ascii="Arial" w:cs="Arial" w:eastAsia="Arial" w:hAnsi="Arial"/>
          <w:b/>
          <w:bCs/>
          <w:i/>
          <w:iCs/>
          <w:color w:val="145F58"/>
          <w:sz w:val="22"/>
          <w:szCs w:val="22"/>
          <w:u w:val="single" w:color="145F58"/>
        </w:rPr>
        <w:t xml:space="preserve">quota</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About 40 percent of Farm Bill payments are captured by </w:t>
      </w:r>
      <w:r>
        <w:rPr>
          <w:rFonts w:ascii="Arial" w:cs="Arial" w:eastAsia="Arial" w:hAnsi="Arial"/>
          <w:b/>
          <w:bCs/>
          <w:i/>
          <w:iCs/>
          <w:color w:val="145F58"/>
          <w:sz w:val="22"/>
          <w:szCs w:val="22"/>
          <w:u w:val="single" w:color="145F58"/>
        </w:rPr>
        <w:t xml:space="preserve">land</w:t>
      </w:r>
      <w:r>
        <w:rPr>
          <w:rFonts w:ascii="Arial" w:cs="Arial" w:eastAsia="Arial" w:hAnsi="Arial"/>
          <w:color w:val="333333"/>
          <w:sz w:val="22"/>
          <w:szCs w:val="22"/>
        </w:rPr>
        <w:t xml:space="preserve"> owners through higher land rents.</w:t>
      </w:r>
    </w:p>
    <w:p>
      <w:pPr>
        <w:spacing w:line="336" w:lineRule="auto"/>
      </w:pPr>
      <w:r>
        <w:rPr>
          <w:rFonts w:ascii="Arial" w:cs="Arial" w:eastAsia="Arial" w:hAnsi="Arial"/>
          <w:color w:val="333333"/>
          <w:sz w:val="22"/>
          <w:szCs w:val="22"/>
        </w:rPr>
        <w:t xml:space="preserve">Research shows ~30-50% of the pre-IRA EV credit was captured by manufacturers through higher </w:t>
      </w:r>
      <w:r>
        <w:rPr>
          <w:rFonts w:ascii="Arial" w:cs="Arial" w:eastAsia="Arial" w:hAnsi="Arial"/>
          <w:b/>
          <w:bCs/>
          <w:i/>
          <w:iCs/>
          <w:color w:val="145F58"/>
          <w:sz w:val="22"/>
          <w:szCs w:val="22"/>
          <w:u w:val="single" w:color="145F58"/>
        </w:rPr>
        <w:t xml:space="preserve">MSRPs</w:t>
      </w:r>
      <w:r>
        <w:rPr>
          <w:rFonts w:ascii="Arial" w:cs="Arial" w:eastAsia="Arial" w:hAnsi="Arial"/>
          <w:color w:val="333333"/>
          <w:sz w:val="22"/>
          <w:szCs w:val="22"/>
        </w:rPr>
        <w:t xml:space="preserv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Farm Subsidies Are Concentrated</w:t>
      </w:r>
    </w:p>
    <w:p>
      <w:pPr>
        <w:keepNext/>
        <w:spacing w:line="288" w:lineRule="auto"/>
        <w:jc w:val="left"/>
      </w:pPr>
      <w:r>
        <w:rPr>
          <w:rFonts w:ascii="Trebuchet MS" w:cs="Trebuchet MS" w:eastAsia="Trebuchet MS" w:hAnsi="Trebuchet MS"/>
          <w:b/>
          <w:bCs/>
          <w:i w:val="false"/>
          <w:iCs w:val="false"/>
          <w:color w:val="1B2A4A"/>
          <w:sz w:val="26"/>
          <w:szCs w:val="26"/>
        </w:rPr>
        <w:t xml:space="preserve">Concentration Pattern</w:t>
      </w:r>
    </w:p>
    <w:p>
      <w:pPr>
        <w:spacing w:line="336" w:lineRule="auto"/>
      </w:pPr>
      <w:r>
        <w:rPr>
          <w:rFonts w:ascii="Arial" w:cs="Arial" w:eastAsia="Arial" w:hAnsi="Arial"/>
          <w:color w:val="333333"/>
          <w:sz w:val="22"/>
          <w:szCs w:val="22"/>
        </w:rPr>
        <w:t xml:space="preserve">The top 5 farm states are Iowa, Illinois, Texas, Nebraska, and </w:t>
      </w:r>
      <w:r>
        <w:rPr>
          <w:rFonts w:ascii="Arial" w:cs="Arial" w:eastAsia="Arial" w:hAnsi="Arial"/>
          <w:b/>
          <w:bCs/>
          <w:i/>
          <w:iCs/>
          <w:color w:val="145F58"/>
          <w:sz w:val="22"/>
          <w:szCs w:val="22"/>
          <w:u w:val="single" w:color="145F58"/>
        </w:rPr>
        <w:t xml:space="preserve">Kansas</w:t>
      </w:r>
      <w:r>
        <w:rPr>
          <w:rFonts w:ascii="Arial" w:cs="Arial" w:eastAsia="Arial" w:hAnsi="Arial"/>
          <w:color w:val="333333"/>
          <w:sz w:val="22"/>
          <w:szCs w:val="22"/>
        </w:rPr>
        <w:t xml:space="preserve">.</w:t>
      </w:r>
    </w:p>
    <w:p>
      <w:r>
        <w:drawing>
          <wp:inline xmlns:a="http://schemas.openxmlformats.org/drawingml/2006/main" xmlns:pic="http://schemas.openxmlformats.org/drawingml/2006/picture">
            <wp:extent cx="5303520" cy="4481781"/>
            <wp:docPr id="2" name="mllp:chart_top5_subsidies|subsidies-guided-notes-teacher|docx|top-5-farm-states|" title="mllp:chart_top5_subsidies|subsidies-guided-notes-teacher|docx|top-5-farm-states|" descr="Bar chart of the top five federal subsidy programs by annual cost in billions of dollars. Five bars from largest to smallest: (1) IRA Clean-Energy Credits at $37 billion per year (blended decade average), (2) Farm Bill commodity supports plus crop insurance at $30 billion per year, (3) Solar Investment Tax Credit at $8 billion per year, (4) EV Tax Credit at $7 billion per year, (5) CHIPS Act semiconductor subsidies at $5 billion per year. Caption: 'Top 5 federal subsidies total about $87B per year, dominated by clean-energy and agriculture.'"/>
            <wp:cNvGraphicFramePr>
              <a:graphicFrameLocks noChangeAspect="1"/>
            </wp:cNvGraphicFramePr>
            <a:graphic>
              <a:graphicData uri="http://schemas.openxmlformats.org/drawingml/2006/picture">
                <pic:pic>
                  <pic:nvPicPr>
                    <pic:cNvPr id="0" name="chart_top5_subsidies.png"/>
                    <pic:cNvPicPr/>
                  </pic:nvPicPr>
                  <pic:blipFill>
                    <a:blip r:embed="rId10"/>
                    <a:stretch>
                      <a:fillRect/>
                    </a:stretch>
                  </pic:blipFill>
                  <pic:spPr>
                    <a:xfrm>
                      <a:off x="0" y="0"/>
                      <a:ext cx="5303520" cy="4481781"/>
                    </a:xfrm>
                    <a:prstGeom prst="rect"/>
                  </pic:spPr>
                </pic:pic>
              </a:graphicData>
            </a:graphic>
          </wp:inline>
        </w:drawing>
      </w:r>
    </w:p>
    <w:p>
      <w:pPr>
        <w:spacing w:line="336" w:lineRule="auto"/>
      </w:pPr>
      <w:r>
        <w:rPr>
          <w:rFonts w:ascii="Arial" w:cs="Arial" w:eastAsia="Arial" w:hAnsi="Arial"/>
          <w:color w:val="333333"/>
          <w:sz w:val="22"/>
          <w:szCs w:val="22"/>
        </w:rPr>
        <w:t xml:space="preserve">Iowa receives about $</w:t>
      </w:r>
      <w:r>
        <w:rPr>
          <w:rFonts w:ascii="Arial" w:cs="Arial" w:eastAsia="Arial" w:hAnsi="Arial"/>
          <w:b/>
          <w:bCs/>
          <w:i/>
          <w:iCs/>
          <w:color w:val="145F58"/>
          <w:sz w:val="22"/>
          <w:szCs w:val="22"/>
          <w:u w:val="single" w:color="145F58"/>
        </w:rPr>
        <w:t xml:space="preserve">2.0</w:t>
      </w:r>
      <w:r>
        <w:rPr>
          <w:rFonts w:ascii="Arial" w:cs="Arial" w:eastAsia="Arial" w:hAnsi="Arial"/>
          <w:color w:val="333333"/>
          <w:sz w:val="22"/>
          <w:szCs w:val="22"/>
        </w:rPr>
        <w:t xml:space="preserve"> billion per year, the largest single state.</w:t>
      </w:r>
    </w:p>
    <w:p>
      <w:pPr>
        <w:spacing w:line="336" w:lineRule="auto"/>
      </w:pPr>
      <w:r>
        <w:rPr>
          <w:rFonts w:ascii="Arial" w:cs="Arial" w:eastAsia="Arial" w:hAnsi="Arial"/>
          <w:color w:val="333333"/>
          <w:sz w:val="22"/>
          <w:szCs w:val="22"/>
        </w:rPr>
        <w:t xml:space="preserve">About 10% of states get more than </w:t>
      </w:r>
      <w:r>
        <w:rPr>
          <w:rFonts w:ascii="Arial" w:cs="Arial" w:eastAsia="Arial" w:hAnsi="Arial"/>
          <w:b/>
          <w:bCs/>
          <w:i/>
          <w:iCs/>
          <w:color w:val="145F58"/>
          <w:sz w:val="22"/>
          <w:szCs w:val="22"/>
          <w:u w:val="single" w:color="145F58"/>
        </w:rPr>
        <w:t xml:space="preserve">50</w:t>
      </w:r>
      <w:r>
        <w:rPr>
          <w:rFonts w:ascii="Arial" w:cs="Arial" w:eastAsia="Arial" w:hAnsi="Arial"/>
          <w:color w:val="333333"/>
          <w:sz w:val="22"/>
          <w:szCs w:val="22"/>
        </w:rPr>
        <w:t xml:space="preserve"> percent of all farm subsidy dollars.</w:t>
      </w:r>
    </w:p>
    <w:p>
      <w:pPr>
        <w:spacing w:line="336" w:lineRule="auto"/>
      </w:pPr>
      <w:r>
        <w:rPr>
          <w:rFonts w:ascii="Arial" w:cs="Arial" w:eastAsia="Arial" w:hAnsi="Arial"/>
          <w:color w:val="333333"/>
          <w:sz w:val="22"/>
          <w:szCs w:val="22"/>
        </w:rPr>
        <w:t xml:space="preserve">The top 10% of farms receive about </w:t>
      </w:r>
      <w:r>
        <w:rPr>
          <w:rFonts w:ascii="Arial" w:cs="Arial" w:eastAsia="Arial" w:hAnsi="Arial"/>
          <w:b/>
          <w:bCs/>
          <w:i/>
          <w:iCs/>
          <w:color w:val="145F58"/>
          <w:sz w:val="22"/>
          <w:szCs w:val="22"/>
          <w:u w:val="single" w:color="145F58"/>
        </w:rPr>
        <w:t xml:space="preserve">78</w:t>
      </w:r>
      <w:r>
        <w:rPr>
          <w:rFonts w:ascii="Arial" w:cs="Arial" w:eastAsia="Arial" w:hAnsi="Arial"/>
          <w:color w:val="333333"/>
          <w:sz w:val="22"/>
          <w:szCs w:val="22"/>
        </w:rPr>
        <w:t xml:space="preserve"> percent of all federal farm payments.</w:t>
      </w:r>
    </w:p>
    <w:p>
      <w:pPr>
        <w:spacing w:line="336" w:lineRule="auto"/>
      </w:pPr>
      <w:r>
        <w:rPr>
          <w:rFonts w:ascii="Arial" w:cs="Arial" w:eastAsia="Arial" w:hAnsi="Arial"/>
          <w:color w:val="333333"/>
          <w:sz w:val="22"/>
          <w:szCs w:val="22"/>
        </w:rPr>
        <w:t xml:space="preserve">Concentration was locked in by the 1996 Freedom to </w:t>
      </w:r>
      <w:r>
        <w:rPr>
          <w:rFonts w:ascii="Arial" w:cs="Arial" w:eastAsia="Arial" w:hAnsi="Arial"/>
          <w:b/>
          <w:bCs/>
          <w:i/>
          <w:iCs/>
          <w:color w:val="145F58"/>
          <w:sz w:val="22"/>
          <w:szCs w:val="22"/>
          <w:u w:val="single" w:color="145F58"/>
        </w:rPr>
        <w:t xml:space="preserve">Farm</w:t>
      </w:r>
      <w:r>
        <w:rPr>
          <w:rFonts w:ascii="Arial" w:cs="Arial" w:eastAsia="Arial" w:hAnsi="Arial"/>
          <w:color w:val="333333"/>
          <w:sz w:val="22"/>
          <w:szCs w:val="22"/>
        </w:rPr>
        <w:t xml:space="preserve"> Act, which tied payments to historical acreage.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9</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Why Politicians Love Subsidies</w:t>
      </w:r>
    </w:p>
    <w:p>
      <w:pPr>
        <w:keepNext/>
        <w:spacing w:line="288" w:lineRule="auto"/>
        <w:jc w:val="left"/>
      </w:pPr>
      <w:r>
        <w:rPr>
          <w:rFonts w:ascii="Trebuchet MS" w:cs="Trebuchet MS" w:eastAsia="Trebuchet MS" w:hAnsi="Trebuchet MS"/>
          <w:b/>
          <w:bCs/>
          <w:i w:val="false"/>
          <w:iCs w:val="false"/>
          <w:color w:val="1B2A4A"/>
          <w:sz w:val="26"/>
          <w:szCs w:val="26"/>
        </w:rPr>
        <w:t xml:space="preserve">The Political-Economy Logic</w:t>
      </w:r>
    </w:p>
    <w:p>
      <w:pPr>
        <w:spacing w:line="336" w:lineRule="auto"/>
      </w:pPr>
      <w:r>
        <w:rPr>
          <w:rFonts w:ascii="Arial" w:cs="Arial" w:eastAsia="Arial" w:hAnsi="Arial"/>
          <w:color w:val="333333"/>
          <w:sz w:val="22"/>
          <w:szCs w:val="22"/>
        </w:rPr>
        <w:t xml:space="preserve">CONCENTRATED </w:t>
      </w:r>
      <w:r>
        <w:rPr>
          <w:rFonts w:ascii="Arial" w:cs="Arial" w:eastAsia="Arial" w:hAnsi="Arial"/>
          <w:b/>
          <w:bCs/>
          <w:i/>
          <w:iCs/>
          <w:color w:val="145F58"/>
          <w:sz w:val="22"/>
          <w:szCs w:val="22"/>
          <w:u w:val="single" w:color="145F58"/>
        </w:rPr>
        <w:t xml:space="preserve">benefit</w:t>
      </w:r>
      <w:r>
        <w:rPr>
          <w:rFonts w:ascii="Arial" w:cs="Arial" w:eastAsia="Arial" w:hAnsi="Arial"/>
          <w:color w:val="333333"/>
          <w:sz w:val="22"/>
          <w:szCs w:val="22"/>
        </w:rPr>
        <w:t xml:space="preserve">: a few recipients each collect a large per-person check.</w:t>
      </w:r>
    </w:p>
    <w:p>
      <w:pPr>
        <w:spacing w:line="336" w:lineRule="auto"/>
      </w:pPr>
      <w:r>
        <w:rPr>
          <w:rFonts w:ascii="Arial" w:cs="Arial" w:eastAsia="Arial" w:hAnsi="Arial"/>
          <w:color w:val="333333"/>
          <w:sz w:val="22"/>
          <w:szCs w:val="22"/>
        </w:rPr>
        <w:t xml:space="preserve">DIFFUSE </w:t>
      </w:r>
      <w:r>
        <w:rPr>
          <w:rFonts w:ascii="Arial" w:cs="Arial" w:eastAsia="Arial" w:hAnsi="Arial"/>
          <w:b/>
          <w:bCs/>
          <w:i/>
          <w:iCs/>
          <w:color w:val="145F58"/>
          <w:sz w:val="22"/>
          <w:szCs w:val="22"/>
          <w:u w:val="single" w:color="145F58"/>
        </w:rPr>
        <w:t xml:space="preserve">cost</w:t>
      </w:r>
      <w:r>
        <w:rPr>
          <w:rFonts w:ascii="Arial" w:cs="Arial" w:eastAsia="Arial" w:hAnsi="Arial"/>
          <w:color w:val="333333"/>
          <w:sz w:val="22"/>
          <w:szCs w:val="22"/>
        </w:rPr>
        <w:t xml:space="preserve">: ~300 million Americans share $87B - roughly $290 per person per year, too small to organize against.</w:t>
      </w:r>
    </w:p>
    <w:p>
      <w:pPr>
        <w:spacing w:line="336" w:lineRule="auto"/>
      </w:pPr>
      <w:r>
        <w:rPr>
          <w:rFonts w:ascii="Arial" w:cs="Arial" w:eastAsia="Arial" w:hAnsi="Arial"/>
          <w:color w:val="333333"/>
          <w:sz w:val="22"/>
          <w:szCs w:val="22"/>
        </w:rPr>
        <w:t xml:space="preserve">Every Farm Bill subsidy goes to a specific congressional </w:t>
      </w:r>
      <w:r>
        <w:rPr>
          <w:rFonts w:ascii="Arial" w:cs="Arial" w:eastAsia="Arial" w:hAnsi="Arial"/>
          <w:b/>
          <w:bCs/>
          <w:i/>
          <w:iCs/>
          <w:color w:val="145F58"/>
          <w:sz w:val="22"/>
          <w:szCs w:val="22"/>
          <w:u w:val="single" w:color="145F58"/>
        </w:rPr>
        <w:t xml:space="preserve">district</w:t>
      </w:r>
      <w:r>
        <w:rPr>
          <w:rFonts w:ascii="Arial" w:cs="Arial" w:eastAsia="Arial" w:hAnsi="Arial"/>
          <w:color w:val="333333"/>
          <w:sz w:val="22"/>
          <w:szCs w:val="22"/>
        </w:rPr>
        <w:t xml:space="preserve"> - legislators trade votes for local money.</w:t>
      </w:r>
    </w:p>
    <w:p>
      <w:pPr>
        <w:spacing w:line="336" w:lineRule="auto"/>
      </w:pPr>
      <w:r>
        <w:rPr>
          <w:rFonts w:ascii="Arial" w:cs="Arial" w:eastAsia="Arial" w:hAnsi="Arial"/>
          <w:color w:val="333333"/>
          <w:sz w:val="22"/>
          <w:szCs w:val="22"/>
        </w:rPr>
        <w:t xml:space="preserve">A bipartisan COALITION (urban SNAP + rural commodity supports) makes the bill nearly impossible to </w:t>
      </w:r>
      <w:r>
        <w:rPr>
          <w:rFonts w:ascii="Arial" w:cs="Arial" w:eastAsia="Arial" w:hAnsi="Arial"/>
          <w:b/>
          <w:bCs/>
          <w:i/>
          <w:iCs/>
          <w:color w:val="145F58"/>
          <w:sz w:val="22"/>
          <w:szCs w:val="22"/>
          <w:u w:val="single" w:color="145F58"/>
        </w:rPr>
        <w:t xml:space="preserve">repeal</w:t>
      </w:r>
      <w:r>
        <w:rPr>
          <w:rFonts w:ascii="Arial" w:cs="Arial" w:eastAsia="Arial" w:hAnsi="Arial"/>
          <w:color w:val="333333"/>
          <w:sz w:val="22"/>
          <w:szCs w:val="22"/>
        </w:rPr>
        <w:t xml:space="preserv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Distortions Subsidies Create</w:t>
      </w:r>
    </w:p>
    <w:p>
      <w:pPr>
        <w:keepNext/>
        <w:spacing w:line="288" w:lineRule="auto"/>
        <w:jc w:val="left"/>
      </w:pPr>
      <w:r>
        <w:rPr>
          <w:rFonts w:ascii="Trebuchet MS" w:cs="Trebuchet MS" w:eastAsia="Trebuchet MS" w:hAnsi="Trebuchet MS"/>
          <w:b/>
          <w:bCs/>
          <w:i w:val="false"/>
          <w:iCs w:val="false"/>
          <w:color w:val="1B2A4A"/>
          <w:sz w:val="26"/>
          <w:szCs w:val="26"/>
        </w:rPr>
        <w:t xml:space="preserve">Six Distortions</w:t>
      </w:r>
    </w:p>
    <w:p>
      <w:pPr>
        <w:spacing w:line="336" w:lineRule="auto"/>
      </w:pPr>
      <w:r>
        <w:rPr>
          <w:rFonts w:ascii="Arial" w:cs="Arial" w:eastAsia="Arial" w:hAnsi="Arial"/>
          <w:color w:val="333333"/>
          <w:sz w:val="22"/>
          <w:szCs w:val="22"/>
        </w:rPr>
        <w:t xml:space="preserve">DEADWEIGHT </w:t>
      </w:r>
      <w:r>
        <w:rPr>
          <w:rFonts w:ascii="Arial" w:cs="Arial" w:eastAsia="Arial" w:hAnsi="Arial"/>
          <w:b/>
          <w:bCs/>
          <w:i/>
          <w:iCs/>
          <w:color w:val="145F58"/>
          <w:sz w:val="22"/>
          <w:szCs w:val="22"/>
          <w:u w:val="single" w:color="145F58"/>
        </w:rPr>
        <w:t xml:space="preserve">loss</w:t>
      </w:r>
      <w:r>
        <w:rPr>
          <w:rFonts w:ascii="Arial" w:cs="Arial" w:eastAsia="Arial" w:hAnsi="Arial"/>
          <w:color w:val="333333"/>
          <w:sz w:val="22"/>
          <w:szCs w:val="22"/>
        </w:rPr>
        <w:t xml:space="preserve">: subsidized goods are produced beyond their social value.</w:t>
      </w:r>
    </w:p>
    <w:p>
      <w:pPr>
        <w:spacing w:line="336" w:lineRule="auto"/>
      </w:pPr>
      <w:r>
        <w:rPr>
          <w:rFonts w:ascii="Arial" w:cs="Arial" w:eastAsia="Arial" w:hAnsi="Arial"/>
          <w:color w:val="333333"/>
          <w:sz w:val="22"/>
          <w:szCs w:val="22"/>
        </w:rPr>
        <w:t xml:space="preserve">CROWDING OUT: corn ethanol subsidies raise </w:t>
      </w:r>
      <w:r>
        <w:rPr>
          <w:rFonts w:ascii="Arial" w:cs="Arial" w:eastAsia="Arial" w:hAnsi="Arial"/>
          <w:b/>
          <w:bCs/>
          <w:i/>
          <w:iCs/>
          <w:color w:val="145F58"/>
          <w:sz w:val="22"/>
          <w:szCs w:val="22"/>
          <w:u w:val="single" w:color="145F58"/>
        </w:rPr>
        <w:t xml:space="preserve">feed</w:t>
      </w:r>
      <w:r>
        <w:rPr>
          <w:rFonts w:ascii="Arial" w:cs="Arial" w:eastAsia="Arial" w:hAnsi="Arial"/>
          <w:color w:val="333333"/>
          <w:sz w:val="22"/>
          <w:szCs w:val="22"/>
        </w:rPr>
        <w:t xml:space="preserve"> prices for livestock farmers.</w:t>
      </w:r>
    </w:p>
    <w:p>
      <w:pPr>
        <w:spacing w:line="336" w:lineRule="auto"/>
      </w:pPr>
      <w:r>
        <w:rPr>
          <w:rFonts w:ascii="Arial" w:cs="Arial" w:eastAsia="Arial" w:hAnsi="Arial"/>
          <w:color w:val="333333"/>
          <w:sz w:val="22"/>
          <w:szCs w:val="22"/>
        </w:rPr>
        <w:t xml:space="preserve">INPUT INFLATION: the pre-IRA solar ITC and EV credit raised input prices by about </w:t>
      </w:r>
      <w:r>
        <w:rPr>
          <w:rFonts w:ascii="Arial" w:cs="Arial" w:eastAsia="Arial" w:hAnsi="Arial"/>
          <w:b/>
          <w:bCs/>
          <w:i/>
          <w:iCs/>
          <w:color w:val="145F58"/>
          <w:sz w:val="22"/>
          <w:szCs w:val="22"/>
          <w:u w:val="single" w:color="145F58"/>
        </w:rPr>
        <w:t xml:space="preserve">10</w:t>
      </w:r>
      <w:r>
        <w:rPr>
          <w:rFonts w:ascii="Arial" w:cs="Arial" w:eastAsia="Arial" w:hAnsi="Arial"/>
          <w:color w:val="333333"/>
          <w:sz w:val="22"/>
          <w:szCs w:val="22"/>
        </w:rPr>
        <w:t xml:space="preserve"> percent.</w:t>
      </w:r>
    </w:p>
    <w:p>
      <w:pPr>
        <w:spacing w:line="336" w:lineRule="auto"/>
      </w:pPr>
      <w:r>
        <w:rPr>
          <w:rFonts w:ascii="Arial" w:cs="Arial" w:eastAsia="Arial" w:hAnsi="Arial"/>
          <w:color w:val="333333"/>
          <w:sz w:val="22"/>
          <w:szCs w:val="22"/>
        </w:rPr>
        <w:t xml:space="preserve">PICKING WINNERS: government bets on specific </w:t>
      </w:r>
      <w:r>
        <w:rPr>
          <w:rFonts w:ascii="Arial" w:cs="Arial" w:eastAsia="Arial" w:hAnsi="Arial"/>
          <w:b/>
          <w:bCs/>
          <w:i/>
          <w:iCs/>
          <w:color w:val="145F58"/>
          <w:sz w:val="22"/>
          <w:szCs w:val="22"/>
          <w:u w:val="single" w:color="145F58"/>
        </w:rPr>
        <w:t xml:space="preserve">technologies</w:t>
      </w:r>
      <w:r>
        <w:rPr>
          <w:rFonts w:ascii="Arial" w:cs="Arial" w:eastAsia="Arial" w:hAnsi="Arial"/>
          <w:color w:val="333333"/>
          <w:sz w:val="22"/>
          <w:szCs w:val="22"/>
        </w:rPr>
        <w:t xml:space="preserve"> that may underperform unsubsidized rivals.</w:t>
      </w:r>
    </w:p>
    <w:p>
      <w:pPr>
        <w:spacing w:line="336" w:lineRule="auto"/>
      </w:pPr>
      <w:r>
        <w:rPr>
          <w:rFonts w:ascii="Arial" w:cs="Arial" w:eastAsia="Arial" w:hAnsi="Arial"/>
          <w:color w:val="333333"/>
          <w:sz w:val="22"/>
          <w:szCs w:val="22"/>
        </w:rPr>
        <w:t xml:space="preserve">RENT </w:t>
      </w:r>
      <w:r>
        <w:rPr>
          <w:rFonts w:ascii="Arial" w:cs="Arial" w:eastAsia="Arial" w:hAnsi="Arial"/>
          <w:b/>
          <w:bCs/>
          <w:i/>
          <w:iCs/>
          <w:color w:val="145F58"/>
          <w:sz w:val="22"/>
          <w:szCs w:val="22"/>
          <w:u w:val="single" w:color="145F58"/>
        </w:rPr>
        <w:t xml:space="preserve">seeking</w:t>
      </w:r>
      <w:r>
        <w:rPr>
          <w:rFonts w:ascii="Arial" w:cs="Arial" w:eastAsia="Arial" w:hAnsi="Arial"/>
          <w:color w:val="333333"/>
          <w:sz w:val="22"/>
          <w:szCs w:val="22"/>
        </w:rPr>
        <w:t xml:space="preserve">: industries spend political resources on lobbying to keep subsidies instead of producing new value.</w:t>
      </w: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Key Takeaways</w:t>
      </w:r>
    </w:p>
    <w:p>
      <w:pPr>
        <w:keepNext/>
        <w:spacing w:line="288" w:lineRule="auto"/>
        <w:jc w:val="left"/>
      </w:pPr>
      <w:r>
        <w:rPr>
          <w:rFonts w:ascii="Trebuchet MS" w:cs="Trebuchet MS" w:eastAsia="Trebuchet MS" w:hAnsi="Trebuchet MS"/>
          <w:b/>
          <w:bCs/>
          <w:i w:val="false"/>
          <w:iCs w:val="false"/>
          <w:color w:val="1B2A4A"/>
          <w:sz w:val="26"/>
          <w:szCs w:val="26"/>
        </w:rPr>
        <w:t xml:space="preserve">Lesson Wrap Up Review</w:t>
      </w:r>
    </w:p>
    <w:p>
      <w:pPr>
        <w:spacing w:line="336" w:lineRule="auto"/>
      </w:pPr>
      <w:r>
        <w:rPr>
          <w:rFonts w:ascii="Arial" w:cs="Arial" w:eastAsia="Arial" w:hAnsi="Arial"/>
          <w:color w:val="333333"/>
          <w:sz w:val="22"/>
          <w:szCs w:val="22"/>
        </w:rPr>
        <w:t xml:space="preserve">A SUBSIDY is a government payment that lowers producer cost; supply shifts to the </w:t>
      </w:r>
      <w:r>
        <w:rPr>
          <w:rFonts w:ascii="Arial" w:cs="Arial" w:eastAsia="Arial" w:hAnsi="Arial"/>
          <w:b/>
          <w:bCs/>
          <w:i/>
          <w:iCs/>
          <w:color w:val="145F58"/>
          <w:sz w:val="22"/>
          <w:szCs w:val="22"/>
          <w:u w:val="single" w:color="145F58"/>
        </w:rPr>
        <w:t xml:space="preserve">right</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Three big federal programs: the Farm Bill, the EV tax credit, and the Solar </w:t>
      </w:r>
      <w:r>
        <w:rPr>
          <w:rFonts w:ascii="Arial" w:cs="Arial" w:eastAsia="Arial" w:hAnsi="Arial"/>
          <w:b/>
          <w:bCs/>
          <w:i/>
          <w:iCs/>
          <w:color w:val="145F58"/>
          <w:sz w:val="22"/>
          <w:szCs w:val="22"/>
          <w:u w:val="single" w:color="145F58"/>
        </w:rPr>
        <w:t xml:space="preserve">ITC</w:t>
      </w:r>
      <w:r>
        <w:rPr>
          <w:rFonts w:ascii="Arial" w:cs="Arial" w:eastAsia="Arial" w:hAnsi="Arial"/>
          <w:color w:val="333333"/>
          <w:sz w:val="22"/>
          <w:szCs w:val="22"/>
        </w:rPr>
        <w:t xml:space="preserve">.</w:t>
      </w:r>
    </w:p>
    <w:p>
      <w:r>
        <w:drawing>
          <wp:inline xmlns:a="http://schemas.openxmlformats.org/drawingml/2006/main" xmlns:pic="http://schemas.openxmlformats.org/drawingml/2006/picture">
            <wp:extent cx="5303520" cy="4330740"/>
            <wp:docPr id="3" name="mllp:chart_farm_subsidies_by_state|subsidies-guided-notes-teacher|docx|farm-bill|" title="mllp:chart_farm_subsidies_by_state|subsidies-guided-notes-teacher|docx|farm-bill|" descr="Bar chart of annual federal farm subsidy receipts by state. Six bars: (1) Iowa $2.0 billion per year, (2) Illinois $1.6 billion, (3) Texas $1.5 billion, (4) Nebraska $1.4 billion, (5) Kansas $1.2 billion, (6) average of all 45 other states $0.15 billion per state. Caption: 'Top 5 states (IA, IL, TX, NE, KS) collect more than 50 percent of all federal farm subsidy dollars (about 53 percent).' Source: USDA ERS + EWG Farm Subsidy Database (averaged recent annual data)."/>
            <wp:cNvGraphicFramePr>
              <a:graphicFrameLocks noChangeAspect="1"/>
            </wp:cNvGraphicFramePr>
            <a:graphic>
              <a:graphicData uri="http://schemas.openxmlformats.org/drawingml/2006/picture">
                <pic:pic>
                  <pic:nvPicPr>
                    <pic:cNvPr id="0" name="chart_farm_subsidies_by_state.png"/>
                    <pic:cNvPicPr/>
                  </pic:nvPicPr>
                  <pic:blipFill>
                    <a:blip r:embed="rId11"/>
                    <a:stretch>
                      <a:fillRect/>
                    </a:stretch>
                  </pic:blipFill>
                  <pic:spPr>
                    <a:xfrm>
                      <a:off x="0" y="0"/>
                      <a:ext cx="5303520" cy="4330740"/>
                    </a:xfrm>
                    <a:prstGeom prst="rect"/>
                  </pic:spPr>
                </pic:pic>
              </a:graphicData>
            </a:graphic>
          </wp:inline>
        </w:drawing>
      </w:r>
    </w:p>
    <w:p>
      <w:pPr>
        <w:spacing w:line="336" w:lineRule="auto"/>
      </w:pPr>
      <w:r>
        <w:rPr>
          <w:rFonts w:ascii="Arial" w:cs="Arial" w:eastAsia="Arial" w:hAnsi="Arial"/>
          <w:color w:val="333333"/>
          <w:sz w:val="22"/>
          <w:szCs w:val="22"/>
        </w:rPr>
        <w:t xml:space="preserve">Subsidies are durable because of CONCENTRATED BENEFIT and DIFFUSE </w:t>
      </w:r>
      <w:r>
        <w:rPr>
          <w:rFonts w:ascii="Arial" w:cs="Arial" w:eastAsia="Arial" w:hAnsi="Arial"/>
          <w:b/>
          <w:bCs/>
          <w:i/>
          <w:iCs/>
          <w:color w:val="145F58"/>
          <w:sz w:val="22"/>
          <w:szCs w:val="22"/>
          <w:u w:val="single" w:color="145F58"/>
        </w:rPr>
        <w:t xml:space="preserve">cost</w:t>
      </w:r>
      <w:r>
        <w:rPr>
          <w:rFonts w:ascii="Arial" w:cs="Arial" w:eastAsia="Arial" w:hAnsi="Arial"/>
          <w:color w:val="333333"/>
          <w:sz w:val="22"/>
          <w:szCs w:val="22"/>
        </w:rPr>
        <w:t xml:space="preserve">.</w:t>
      </w:r>
    </w:p>
    <w:p>
      <w:pPr>
        <w:spacing w:line="336" w:lineRule="auto"/>
      </w:pPr>
      <w:r>
        <w:rPr>
          <w:rFonts w:ascii="Arial" w:cs="Arial" w:eastAsia="Arial" w:hAnsi="Arial"/>
          <w:color w:val="333333"/>
          <w:sz w:val="22"/>
          <w:szCs w:val="22"/>
        </w:rPr>
        <w:t xml:space="preserve">Every subsidy has DISTORTIONS: deadweight loss, crowding out, rent </w:t>
      </w:r>
      <w:r>
        <w:rPr>
          <w:rFonts w:ascii="Arial" w:cs="Arial" w:eastAsia="Arial" w:hAnsi="Arial"/>
          <w:b/>
          <w:bCs/>
          <w:i/>
          <w:iCs/>
          <w:color w:val="145F58"/>
          <w:sz w:val="22"/>
          <w:szCs w:val="22"/>
          <w:u w:val="single" w:color="145F58"/>
        </w:rPr>
        <w:t xml:space="preserve">seeking</w:t>
      </w:r>
      <w:r>
        <w:rPr>
          <w:rFonts w:ascii="Arial" w:cs="Arial" w:eastAsia="Arial" w:hAnsi="Arial"/>
          <w:color w:val="333333"/>
          <w:sz w:val="22"/>
          <w:szCs w:val="22"/>
        </w:rPr>
        <w:t xml:space="preserve">.</w:t>
      </w:r>
    </w:p>
    <w:p>
      <w:r>
        <w:drawing>
          <wp:inline xmlns:a="http://schemas.openxmlformats.org/drawingml/2006/main" xmlns:pic="http://schemas.openxmlformats.org/drawingml/2006/picture">
            <wp:extent cx="5303520" cy="3725465"/>
            <wp:docPr id="1" name="mllp:chart_subsidy_supply_shift|subsidies-guided-notes-teacher|docx|subsidy|" title="mllp:chart_subsidy_supply_shift|subsidies-guided-notes-teacher|docx|subsidy|" descr="Supply-demand diagram of a per-unit subsidy. The downward-sloping demand curve runs from upper-left to lower-right. The original supply curve S0 (private cost) slopes upward and crosses demand at the market equilibrium near a price of $50 and a quantity of 50 units, marked with a navy dot labeled 'Market equilibrium (no subsidy)' (the unregulated outcome). A second dashed coral supply curve S1 sits BELOW the original supply (shifted DOWN/RIGHT), representing S1 = S0 minus per-unit subsidy. The dashed post-subsidy supply curve crosses demand at a LOWER price (~$37.50) and a HIGHER quantity (~62.5) labeled 'Post-subsidy equilibrium.' The vertical gap between the two supply curves at the new quantity is the PER-UNIT SUBSIDY. The horizontal gap on the quantity axis between original quantity (50) and new quantity (62.5) is the QUANTITY INCREASE caused by the subsidy. Dotted navy guide lines drop from each equilibrium to the price and quantity axes so students can read both off the chart. Caption: 'A subsidy shifts supply DOWN/RIGHT; the consumer price falls and the quantity sold rises. The vertical gap = per-unit subsidy.'"/>
            <wp:cNvGraphicFramePr>
              <a:graphicFrameLocks noChangeAspect="1"/>
            </wp:cNvGraphicFramePr>
            <a:graphic>
              <a:graphicData uri="http://schemas.openxmlformats.org/drawingml/2006/picture">
                <pic:pic>
                  <pic:nvPicPr>
                    <pic:cNvPr id="0" name="chart_subsidy_supply_shift.png"/>
                    <pic:cNvPicPr/>
                  </pic:nvPicPr>
                  <pic:blipFill>
                    <a:blip r:embed="rId9"/>
                    <a:stretch>
                      <a:fillRect/>
                    </a:stretch>
                  </pic:blipFill>
                  <pic:spPr>
                    <a:xfrm>
                      <a:off x="0" y="0"/>
                      <a:ext cx="5303520" cy="3725465"/>
                    </a:xfrm>
                    <a:prstGeom prst="rect"/>
                  </pic:spPr>
                </pic:pic>
              </a:graphicData>
            </a:graphic>
          </wp:inline>
        </w:drawing>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2026-06-11T05:49:49.420Z</dcterms:created>
  <dcterms:modified xsi:type="dcterms:W3CDTF">2026-06-11T05:49:49.420Z</dcterms:modified>
</cp:coreProperties>
</file>

<file path=docProps/custom.xml><?xml version="1.0" encoding="utf-8"?>
<Properties xmlns="http://schemas.openxmlformats.org/officeDocument/2006/custom-properties" xmlns:vt="http://schemas.openxmlformats.org/officeDocument/2006/docPropsVTypes"/>
</file>