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a subsidy and identify three major federal subsidy programs (the Farm Bill, the EV tax credit, the solar Investment Tax Credit) by their dollar size and policy goal.</w:t>
      </w:r>
    </w:p>
    <w:p>
      <w:pPr>
        <w:spacing w:line="288" w:lineRule="auto"/>
        <w:jc w:val="left"/>
      </w:pPr>
      <w:r>
        <w:rPr>
          <w:rFonts w:ascii="Arial" w:cs="Arial" w:eastAsia="Arial" w:hAnsi="Arial"/>
          <w:b w:val="false"/>
          <w:bCs w:val="false"/>
          <w:i w:val="false"/>
          <w:iCs w:val="false"/>
          <w:color w:val="1B2A4A"/>
          <w:sz w:val="22"/>
          <w:szCs w:val="22"/>
        </w:rPr>
        <w:t xml:space="preserve">2. Apply supply-and-demand analysis to a subsidy: show how it shifts the supply curve right, lowers the price consumers pay, and raises the quantity bought.</w:t>
      </w:r>
    </w:p>
    <w:p>
      <w:pPr>
        <w:spacing w:line="288" w:lineRule="auto"/>
        <w:jc w:val="left"/>
      </w:pPr>
      <w:r>
        <w:rPr>
          <w:rFonts w:ascii="Arial" w:cs="Arial" w:eastAsia="Arial" w:hAnsi="Arial"/>
          <w:b w:val="false"/>
          <w:bCs w:val="false"/>
          <w:i w:val="false"/>
          <w:iCs w:val="false"/>
          <w:color w:val="1B2A4A"/>
          <w:sz w:val="22"/>
          <w:szCs w:val="22"/>
        </w:rPr>
        <w:t xml:space="preserve">3. Evaluate the winners and losers of each subsidy: who collects the dollars, who pays through higher taxes or higher prices, and what market distortions the subsidy creates.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Is a Subsidy?</w:t>
      </w:r>
    </w:p>
    <w:p>
      <w:pPr>
        <w:keepNext/>
        <w:spacing w:line="288" w:lineRule="auto"/>
        <w:jc w:val="left"/>
      </w:pPr>
      <w:r>
        <w:rPr>
          <w:rFonts w:ascii="Trebuchet MS" w:cs="Trebuchet MS" w:eastAsia="Trebuchet MS" w:hAnsi="Trebuchet MS"/>
          <w:b/>
          <w:bCs/>
          <w:i w:val="false"/>
          <w:iCs w:val="false"/>
          <w:color w:val="1B2A4A"/>
          <w:sz w:val="26"/>
          <w:szCs w:val="26"/>
        </w:rPr>
        <w:t xml:space="preserve">Definition and Two Delivery Methods</w:t>
      </w:r>
    </w:p>
    <w:p>
      <w:pPr>
        <w:spacing w:line="336" w:lineRule="auto"/>
      </w:pPr>
      <w:r>
        <w:rPr>
          <w:rFonts w:ascii="Arial" w:cs="Arial" w:eastAsia="Arial" w:hAnsi="Arial"/>
          <w:color w:val="333333"/>
          <w:sz w:val="22"/>
          <w:szCs w:val="22"/>
        </w:rPr>
        <w:t xml:space="preserve">A SUBSIDY is a government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producers (or sometimes buyers) that lowers cost.</w:t>
      </w:r>
    </w:p>
    <w:p>
      <w:pPr>
        <w:spacing w:line="336" w:lineRule="auto"/>
      </w:pPr>
      <w:r>
        <w:rPr>
          <w:rFonts w:ascii="Arial" w:cs="Arial" w:eastAsia="Arial" w:hAnsi="Arial"/>
          <w:color w:val="333333"/>
          <w:sz w:val="22"/>
          <w:szCs w:val="22"/>
        </w:rPr>
        <w:t xml:space="preserve">The two main delivery methods are a CASH PAYMENT or a TAX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Both methods lower the producer's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unit.</w:t>
      </w:r>
    </w:p>
    <w:p>
      <w:pPr>
        <w:spacing w:line="336" w:lineRule="auto"/>
      </w:pPr>
      <w:r>
        <w:rPr>
          <w:rFonts w:ascii="Arial" w:cs="Arial" w:eastAsia="Arial" w:hAnsi="Arial"/>
          <w:color w:val="333333"/>
          <w:sz w:val="22"/>
          <w:szCs w:val="22"/>
        </w:rPr>
        <w:t xml:space="preserve">Both methods shift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curve to the right.</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Supply-Shift Mechanic</w:t>
      </w:r>
    </w:p>
    <w:p>
      <w:pPr>
        <w:keepNext/>
        <w:spacing w:line="288" w:lineRule="auto"/>
        <w:jc w:val="left"/>
      </w:pPr>
      <w:r>
        <w:rPr>
          <w:rFonts w:ascii="Trebuchet MS" w:cs="Trebuchet MS" w:eastAsia="Trebuchet MS" w:hAnsi="Trebuchet MS"/>
          <w:b/>
          <w:bCs/>
          <w:i w:val="false"/>
          <w:iCs w:val="false"/>
          <w:color w:val="1B2A4A"/>
          <w:sz w:val="26"/>
          <w:szCs w:val="26"/>
        </w:rPr>
        <w:t xml:space="preserve">How a Subsidy Shifts Supply</w:t>
      </w:r>
    </w:p>
    <w:p>
      <w:pPr>
        <w:spacing w:line="336" w:lineRule="auto"/>
      </w:pPr>
      <w:r>
        <w:rPr>
          <w:rFonts w:ascii="Arial" w:cs="Arial" w:eastAsia="Arial" w:hAnsi="Arial"/>
          <w:color w:val="333333"/>
          <w:sz w:val="22"/>
          <w:szCs w:val="22"/>
        </w:rPr>
        <w:t xml:space="preserve">A subsidy lowers the cost for every producer, so the supply curve shifts DOWN and 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At the new equilibrium, the CONSUMER PRICE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than before.</w:t>
      </w:r>
    </w:p>
    <w:p>
      <w:pPr>
        <w:spacing w:line="336" w:lineRule="auto"/>
      </w:pPr>
      <w:r>
        <w:rPr>
          <w:rFonts w:ascii="Arial" w:cs="Arial" w:eastAsia="Arial" w:hAnsi="Arial"/>
          <w:color w:val="333333"/>
          <w:sz w:val="22"/>
          <w:szCs w:val="22"/>
        </w:rPr>
        <w:t xml:space="preserve">At the new equilibrium, the quantity sold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vertical gap between the two supply curves equals the per-unit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subsidy SPLITS between consumer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the split depends on elasticities.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Farm Bill</w:t>
      </w:r>
    </w:p>
    <w:p>
      <w:pPr>
        <w:keepNext/>
        <w:spacing w:line="288" w:lineRule="auto"/>
        <w:jc w:val="left"/>
      </w:pPr>
      <w:r>
        <w:rPr>
          <w:rFonts w:ascii="Trebuchet MS" w:cs="Trebuchet MS" w:eastAsia="Trebuchet MS" w:hAnsi="Trebuchet MS"/>
          <w:b/>
          <w:bCs/>
          <w:i w:val="false"/>
          <w:iCs w:val="false"/>
          <w:color w:val="1B2A4A"/>
          <w:sz w:val="26"/>
          <w:szCs w:val="26"/>
        </w:rPr>
        <w:t xml:space="preserve">Three Buckets of Farm Bill Spending</w:t>
      </w:r>
    </w:p>
    <w:p>
      <w:pPr>
        <w:spacing w:line="336" w:lineRule="auto"/>
      </w:pPr>
      <w:r>
        <w:rPr>
          <w:rFonts w:ascii="Arial" w:cs="Arial" w:eastAsia="Arial" w:hAnsi="Arial"/>
          <w:color w:val="333333"/>
          <w:sz w:val="22"/>
          <w:szCs w:val="22"/>
        </w:rPr>
        <w:t xml:space="preserve">The largest line is CROP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~$80B over 10 years; the feds pay ~62% of premiums.</w:t>
      </w:r>
    </w:p>
    <w:p>
      <w:pPr>
        <w:spacing w:line="336" w:lineRule="auto"/>
      </w:pPr>
      <w:r>
        <w:rPr>
          <w:rFonts w:ascii="Arial" w:cs="Arial" w:eastAsia="Arial" w:hAnsi="Arial"/>
          <w:color w:val="333333"/>
          <w:sz w:val="22"/>
          <w:szCs w:val="22"/>
        </w:rPr>
        <w:t xml:space="preserve">Commodity supports include PLC (Price Loss Coverage)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(Agriculture Risk Coverage).</w:t>
      </w:r>
    </w:p>
    <w:p>
      <w:pPr>
        <w:spacing w:line="336" w:lineRule="auto"/>
      </w:pPr>
      <w:r>
        <w:rPr>
          <w:rFonts w:ascii="Arial" w:cs="Arial" w:eastAsia="Arial" w:hAnsi="Arial"/>
          <w:color w:val="333333"/>
          <w:sz w:val="22"/>
          <w:szCs w:val="22"/>
        </w:rPr>
        <w:t xml:space="preserve">SNAP is the largest single program: ~$1.1T over 10 years and pays ~42 million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month.</w:t>
      </w:r>
    </w:p>
    <w:p>
      <w:pPr>
        <w:spacing w:line="336" w:lineRule="auto"/>
      </w:pPr>
      <w:r>
        <w:rPr>
          <w:rFonts w:ascii="Arial" w:cs="Arial" w:eastAsia="Arial" w:hAnsi="Arial"/>
          <w:color w:val="333333"/>
          <w:sz w:val="22"/>
          <w:szCs w:val="22"/>
        </w:rPr>
        <w:t xml:space="preserve">SNAP is politically BUNDLED with crop subsidies to build a durable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coalition.</w:t>
      </w:r>
    </w:p>
    <w:p>
      <w:pPr>
        <w:spacing w:line="336" w:lineRule="auto"/>
      </w:pPr>
      <w:r>
        <w:rPr>
          <w:rFonts w:ascii="Arial" w:cs="Arial" w:eastAsia="Arial" w:hAnsi="Arial"/>
          <w:color w:val="333333"/>
          <w:sz w:val="22"/>
          <w:szCs w:val="22"/>
        </w:rPr>
        <w:t xml:space="preserve">About two-thirds of crop insurance and commodity payments go to four crops: corn, soybeans, wheat,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EV Tax Credit Under the IRA</w:t>
      </w:r>
    </w:p>
    <w:p>
      <w:pPr>
        <w:keepNext/>
        <w:spacing w:line="288" w:lineRule="auto"/>
        <w:jc w:val="left"/>
      </w:pPr>
      <w:r>
        <w:rPr>
          <w:rFonts w:ascii="Trebuchet MS" w:cs="Trebuchet MS" w:eastAsia="Trebuchet MS" w:hAnsi="Trebuchet MS"/>
          <w:b/>
          <w:bCs/>
          <w:i w:val="false"/>
          <w:iCs w:val="false"/>
          <w:color w:val="1B2A4A"/>
          <w:sz w:val="26"/>
          <w:szCs w:val="26"/>
        </w:rPr>
        <w:t xml:space="preserve">EV Credit Structure</w:t>
      </w:r>
    </w:p>
    <w:p>
      <w:pPr>
        <w:spacing w:line="336" w:lineRule="auto"/>
      </w:pPr>
      <w:r>
        <w:rPr>
          <w:rFonts w:ascii="Arial" w:cs="Arial" w:eastAsia="Arial" w:hAnsi="Arial"/>
          <w:color w:val="333333"/>
          <w:sz w:val="22"/>
          <w:szCs w:val="22"/>
        </w:rPr>
        <w:t xml:space="preserve">The 2022 IRA created an EV tax credit of up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new electric vehicle.</w:t>
      </w:r>
    </w:p>
    <w:p>
      <w:pPr>
        <w:spacing w:line="336" w:lineRule="auto"/>
      </w:pPr>
      <w:r>
        <w:rPr>
          <w:rFonts w:ascii="Arial" w:cs="Arial" w:eastAsia="Arial" w:hAnsi="Arial"/>
          <w:color w:val="333333"/>
          <w:sz w:val="22"/>
          <w:szCs w:val="22"/>
        </w:rPr>
        <w:t xml:space="preserve">The used-EV version of the credit is up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vehicle.</w:t>
      </w:r>
    </w:p>
    <w:p>
      <w:pPr>
        <w:spacing w:line="336" w:lineRule="auto"/>
      </w:pPr>
      <w:r>
        <w:rPr>
          <w:rFonts w:ascii="Arial" w:cs="Arial" w:eastAsia="Arial" w:hAnsi="Arial"/>
          <w:color w:val="333333"/>
          <w:sz w:val="22"/>
          <w:szCs w:val="22"/>
        </w:rPr>
        <w:t xml:space="preserve">The household income cap is $300K joint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single.</w:t>
      </w:r>
    </w:p>
    <w:p>
      <w:pPr>
        <w:spacing w:line="336" w:lineRule="auto"/>
      </w:pPr>
      <w:r>
        <w:rPr>
          <w:rFonts w:ascii="Arial" w:cs="Arial" w:eastAsia="Arial" w:hAnsi="Arial"/>
          <w:color w:val="333333"/>
          <w:sz w:val="22"/>
          <w:szCs w:val="22"/>
        </w:rPr>
        <w:t xml:space="preserve">The sourcing rule requires FINAL ASSEMBLY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America.</w:t>
      </w:r>
    </w:p>
    <w:p>
      <w:pPr>
        <w:spacing w:line="336" w:lineRule="auto"/>
      </w:pPr>
      <w:r>
        <w:rPr>
          <w:rFonts w:ascii="Arial" w:cs="Arial" w:eastAsia="Arial" w:hAnsi="Arial"/>
          <w:color w:val="333333"/>
          <w:sz w:val="22"/>
          <w:szCs w:val="22"/>
        </w:rPr>
        <w:t xml:space="preserve">In 2024 the credit became transferable 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at point of sale.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Solar Investment Tax Credit</w:t>
      </w:r>
    </w:p>
    <w:p>
      <w:pPr>
        <w:keepNext/>
        <w:spacing w:line="288" w:lineRule="auto"/>
        <w:jc w:val="left"/>
      </w:pPr>
      <w:r>
        <w:rPr>
          <w:rFonts w:ascii="Trebuchet MS" w:cs="Trebuchet MS" w:eastAsia="Trebuchet MS" w:hAnsi="Trebuchet MS"/>
          <w:b/>
          <w:bCs/>
          <w:i w:val="false"/>
          <w:iCs w:val="false"/>
          <w:color w:val="1B2A4A"/>
          <w:sz w:val="26"/>
          <w:szCs w:val="26"/>
        </w:rPr>
        <w:t xml:space="preserve">Solar ITC Mechanics</w:t>
      </w:r>
    </w:p>
    <w:p>
      <w:pPr>
        <w:spacing w:line="336" w:lineRule="auto"/>
      </w:pPr>
      <w:r>
        <w:rPr>
          <w:rFonts w:ascii="Arial" w:cs="Arial" w:eastAsia="Arial" w:hAnsi="Arial"/>
          <w:color w:val="333333"/>
          <w:sz w:val="22"/>
          <w:szCs w:val="22"/>
        </w:rPr>
        <w:t xml:space="preserve">The residential Solar ITC is a federal tax credit equal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percent of the installed system cost.</w:t>
      </w:r>
    </w:p>
    <w:p>
      <w:pPr>
        <w:spacing w:line="336" w:lineRule="auto"/>
      </w:pPr>
      <w:r>
        <w:rPr>
          <w:rFonts w:ascii="Arial" w:cs="Arial" w:eastAsia="Arial" w:hAnsi="Arial"/>
          <w:color w:val="333333"/>
          <w:sz w:val="22"/>
          <w:szCs w:val="22"/>
        </w:rPr>
        <w:t xml:space="preserve">The 30 percent rate steps down to 22 percent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commercial ITC adds a 10 percent bonus for domestic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Total commercial ITC can stack to 40-50 percent with low-income and labor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IRA also includes a Production Tax Credit (PTC) for wind, hydrogen, and clean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Top 5 Federal Subsidies</w:t>
      </w:r>
    </w:p>
    <w:p>
      <w:pPr>
        <w:keepNext/>
        <w:spacing w:line="288" w:lineRule="auto"/>
        <w:jc w:val="left"/>
      </w:pPr>
      <w:r>
        <w:rPr>
          <w:rFonts w:ascii="Trebuchet MS" w:cs="Trebuchet MS" w:eastAsia="Trebuchet MS" w:hAnsi="Trebuchet MS"/>
          <w:b/>
          <w:bCs/>
          <w:i w:val="false"/>
          <w:iCs w:val="false"/>
          <w:color w:val="1B2A4A"/>
          <w:sz w:val="26"/>
          <w:szCs w:val="26"/>
        </w:rPr>
        <w:t xml:space="preserve">Federal Subsidy Sizes</w:t>
      </w:r>
    </w:p>
    <w:p>
      <w:pPr>
        <w:spacing w:line="336" w:lineRule="auto"/>
      </w:pPr>
      <w:r>
        <w:rPr>
          <w:rFonts w:ascii="Arial" w:cs="Arial" w:eastAsia="Arial" w:hAnsi="Arial"/>
          <w:color w:val="333333"/>
          <w:sz w:val="22"/>
          <w:szCs w:val="22"/>
        </w:rPr>
        <w:t xml:space="preserve">The IRA Clean-Energy Credits are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 (blended decade average).</w:t>
      </w:r>
    </w:p>
    <w:p>
      <w:pPr>
        <w:spacing w:line="336" w:lineRule="auto"/>
      </w:pPr>
      <w:r>
        <w:rPr>
          <w:rFonts w:ascii="Arial" w:cs="Arial" w:eastAsia="Arial" w:hAnsi="Arial"/>
          <w:color w:val="333333"/>
          <w:sz w:val="22"/>
          <w:szCs w:val="22"/>
        </w:rPr>
        <w:t xml:space="preserve">The Farm Bill commodity supports and crop insurance total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w:t>
      </w:r>
    </w:p>
    <w:p>
      <w:pPr>
        <w:spacing w:line="336" w:lineRule="auto"/>
      </w:pPr>
      <w:r>
        <w:rPr>
          <w:rFonts w:ascii="Arial" w:cs="Arial" w:eastAsia="Arial" w:hAnsi="Arial"/>
          <w:color w:val="333333"/>
          <w:sz w:val="22"/>
          <w:szCs w:val="22"/>
        </w:rPr>
        <w:t xml:space="preserve">The Solar ITC costs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w:t>
      </w:r>
    </w:p>
    <w:p>
      <w:pPr>
        <w:spacing w:line="336" w:lineRule="auto"/>
      </w:pPr>
      <w:r>
        <w:rPr>
          <w:rFonts w:ascii="Arial" w:cs="Arial" w:eastAsia="Arial" w:hAnsi="Arial"/>
          <w:color w:val="333333"/>
          <w:sz w:val="22"/>
          <w:szCs w:val="22"/>
        </w:rPr>
        <w:t xml:space="preserve">The EV Tax Credit costs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 at full ramp.</w:t>
      </w:r>
    </w:p>
    <w:p>
      <w:pPr>
        <w:spacing w:line="336" w:lineRule="auto"/>
      </w:pPr>
      <w:r>
        <w:rPr>
          <w:rFonts w:ascii="Arial" w:cs="Arial" w:eastAsia="Arial" w:hAnsi="Arial"/>
          <w:color w:val="333333"/>
          <w:sz w:val="22"/>
          <w:szCs w:val="22"/>
        </w:rPr>
        <w:t xml:space="preserve">The CHIPS Act semiconductor subsidies total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 average.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Who Benefits, Who Pays</w:t>
      </w:r>
    </w:p>
    <w:p>
      <w:pPr>
        <w:keepNext/>
        <w:spacing w:line="288" w:lineRule="auto"/>
        <w:jc w:val="left"/>
      </w:pPr>
      <w:r>
        <w:rPr>
          <w:rFonts w:ascii="Trebuchet MS" w:cs="Trebuchet MS" w:eastAsia="Trebuchet MS" w:hAnsi="Trebuchet MS"/>
          <w:b/>
          <w:bCs/>
          <w:i w:val="false"/>
          <w:iCs w:val="false"/>
          <w:color w:val="1B2A4A"/>
          <w:sz w:val="26"/>
          <w:szCs w:val="26"/>
        </w:rPr>
        <w:t xml:space="preserve">Subsidy Incidence</w:t>
      </w:r>
    </w:p>
    <w:p>
      <w:pPr>
        <w:spacing w:line="336" w:lineRule="auto"/>
      </w:pPr>
      <w:r>
        <w:rPr>
          <w:rFonts w:ascii="Arial" w:cs="Arial" w:eastAsia="Arial" w:hAnsi="Arial"/>
          <w:color w:val="333333"/>
          <w:sz w:val="22"/>
          <w:szCs w:val="22"/>
        </w:rPr>
        <w:t xml:space="preserve">Direct beneficiaries include subsidy recipients (farmers, EV buyers, solar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Direct payers are federal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through forgone tax revenue.</w:t>
      </w:r>
    </w:p>
    <w:p>
      <w:pPr>
        <w:spacing w:line="336" w:lineRule="auto"/>
      </w:pPr>
      <w:r>
        <w:rPr>
          <w:rFonts w:ascii="Arial" w:cs="Arial" w:eastAsia="Arial" w:hAnsi="Arial"/>
          <w:color w:val="333333"/>
          <w:sz w:val="22"/>
          <w:szCs w:val="22"/>
        </w:rPr>
        <w:t xml:space="preserve">Hidden costs include consumers of unsubsidized substitutes and consumers of sugar (because of the sugar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About 40 percent of Farm Bill payments are captured by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owners through higher land rents.</w:t>
      </w:r>
    </w:p>
    <w:p>
      <w:pPr>
        <w:spacing w:line="336" w:lineRule="auto"/>
      </w:pPr>
      <w:r>
        <w:rPr>
          <w:rFonts w:ascii="Arial" w:cs="Arial" w:eastAsia="Arial" w:hAnsi="Arial"/>
          <w:color w:val="333333"/>
          <w:sz w:val="22"/>
          <w:szCs w:val="22"/>
        </w:rPr>
        <w:t xml:space="preserve">Research shows ~30-50% of the pre-IRA EV credit was captured by manufacturers through higher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Farm Subsidies Are Concentrated</w:t>
      </w:r>
    </w:p>
    <w:p>
      <w:pPr>
        <w:keepNext/>
        <w:spacing w:line="288" w:lineRule="auto"/>
        <w:jc w:val="left"/>
      </w:pPr>
      <w:r>
        <w:rPr>
          <w:rFonts w:ascii="Trebuchet MS" w:cs="Trebuchet MS" w:eastAsia="Trebuchet MS" w:hAnsi="Trebuchet MS"/>
          <w:b/>
          <w:bCs/>
          <w:i w:val="false"/>
          <w:iCs w:val="false"/>
          <w:color w:val="1B2A4A"/>
          <w:sz w:val="26"/>
          <w:szCs w:val="26"/>
        </w:rPr>
        <w:t xml:space="preserve">Concentration Pattern</w:t>
      </w:r>
    </w:p>
    <w:p>
      <w:pPr>
        <w:spacing w:line="336" w:lineRule="auto"/>
      </w:pPr>
      <w:r>
        <w:rPr>
          <w:rFonts w:ascii="Arial" w:cs="Arial" w:eastAsia="Arial" w:hAnsi="Arial"/>
          <w:color w:val="333333"/>
          <w:sz w:val="22"/>
          <w:szCs w:val="22"/>
        </w:rPr>
        <w:t xml:space="preserve">The top 5 farm states are Iowa, Illinois, Texas, Nebraska,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4481781"/>
            <wp:docPr id="2" name="mllp:chart_top5_subsidies|subsidies-guided-notes-student|docx|top-5-farm-states|" title="mllp:chart_top5_subsidies|subsidies-guided-notes-student|docx|top-5-farm-states|" descr="Bar chart of the top five federal subsidy programs by annual cost in billions of dollars. Five bars from largest to smallest: (1) IRA Clean-Energy Credits at $37 billion per year (blended decade average), (2) Farm Bill commodity supports plus crop insurance at $30 billion per year, (3) Solar Investment Tax Credit at $8 billion per year, (4) EV Tax Credit at $7 billion per year, (5) CHIPS Act semiconductor subsidies at $5 billion per year. Caption: 'Top 5 federal subsidies total about $87B per year, dominated by clean-energy and agriculture.'"/>
            <wp:cNvGraphicFramePr>
              <a:graphicFrameLocks noChangeAspect="1"/>
            </wp:cNvGraphicFramePr>
            <a:graphic>
              <a:graphicData uri="http://schemas.openxmlformats.org/drawingml/2006/picture">
                <pic:pic>
                  <pic:nvPicPr>
                    <pic:cNvPr id="0" name="chart_top5_subsidies.png"/>
                    <pic:cNvPicPr/>
                  </pic:nvPicPr>
                  <pic:blipFill>
                    <a:blip r:embed="rId10"/>
                    <a:stretch>
                      <a:fillRect/>
                    </a:stretch>
                  </pic:blipFill>
                  <pic:spPr>
                    <a:xfrm>
                      <a:off x="0" y="0"/>
                      <a:ext cx="5303520" cy="4481781"/>
                    </a:xfrm>
                    <a:prstGeom prst="rect"/>
                  </pic:spPr>
                </pic:pic>
              </a:graphicData>
            </a:graphic>
          </wp:inline>
        </w:drawing>
      </w:r>
    </w:p>
    <w:p>
      <w:pPr>
        <w:spacing w:line="336" w:lineRule="auto"/>
      </w:pPr>
      <w:r>
        <w:rPr>
          <w:rFonts w:ascii="Arial" w:cs="Arial" w:eastAsia="Arial" w:hAnsi="Arial"/>
          <w:color w:val="333333"/>
          <w:sz w:val="22"/>
          <w:szCs w:val="22"/>
        </w:rPr>
        <w:t xml:space="preserve">Iowa receives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 the largest single state.</w:t>
      </w:r>
    </w:p>
    <w:p>
      <w:pPr>
        <w:spacing w:line="336" w:lineRule="auto"/>
      </w:pPr>
      <w:r>
        <w:rPr>
          <w:rFonts w:ascii="Arial" w:cs="Arial" w:eastAsia="Arial" w:hAnsi="Arial"/>
          <w:color w:val="333333"/>
          <w:sz w:val="22"/>
          <w:szCs w:val="22"/>
        </w:rPr>
        <w:t xml:space="preserve">About 10% of states get more than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percent of all farm subsidy dollars.</w:t>
      </w:r>
    </w:p>
    <w:p>
      <w:pPr>
        <w:spacing w:line="336" w:lineRule="auto"/>
      </w:pPr>
      <w:r>
        <w:rPr>
          <w:rFonts w:ascii="Arial" w:cs="Arial" w:eastAsia="Arial" w:hAnsi="Arial"/>
          <w:color w:val="333333"/>
          <w:sz w:val="22"/>
          <w:szCs w:val="22"/>
        </w:rPr>
        <w:t xml:space="preserve">The top 10% of farms receive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percent of all federal farm payments.</w:t>
      </w:r>
    </w:p>
    <w:p>
      <w:pPr>
        <w:spacing w:line="336" w:lineRule="auto"/>
      </w:pPr>
      <w:r>
        <w:rPr>
          <w:rFonts w:ascii="Arial" w:cs="Arial" w:eastAsia="Arial" w:hAnsi="Arial"/>
          <w:color w:val="333333"/>
          <w:sz w:val="22"/>
          <w:szCs w:val="22"/>
        </w:rPr>
        <w:t xml:space="preserve">Concentration was locked in by the 1996 Freedom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Act, which tied payments to historical acreage.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Politicians Love Subsidies</w:t>
      </w:r>
    </w:p>
    <w:p>
      <w:pPr>
        <w:keepNext/>
        <w:spacing w:line="288" w:lineRule="auto"/>
        <w:jc w:val="left"/>
      </w:pPr>
      <w:r>
        <w:rPr>
          <w:rFonts w:ascii="Trebuchet MS" w:cs="Trebuchet MS" w:eastAsia="Trebuchet MS" w:hAnsi="Trebuchet MS"/>
          <w:b/>
          <w:bCs/>
          <w:i w:val="false"/>
          <w:iCs w:val="false"/>
          <w:color w:val="1B2A4A"/>
          <w:sz w:val="26"/>
          <w:szCs w:val="26"/>
        </w:rPr>
        <w:t xml:space="preserve">The Political-Economy Logic</w:t>
      </w:r>
    </w:p>
    <w:p>
      <w:pPr>
        <w:spacing w:line="336" w:lineRule="auto"/>
      </w:pPr>
      <w:r>
        <w:rPr>
          <w:rFonts w:ascii="Arial" w:cs="Arial" w:eastAsia="Arial" w:hAnsi="Arial"/>
          <w:color w:val="333333"/>
          <w:sz w:val="22"/>
          <w:szCs w:val="22"/>
        </w:rPr>
        <w:t xml:space="preserve">CONCENTRATED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few recipients each collect a large per-person check.</w:t>
      </w:r>
    </w:p>
    <w:p>
      <w:pPr>
        <w:spacing w:line="336" w:lineRule="auto"/>
      </w:pPr>
      <w:r>
        <w:rPr>
          <w:rFonts w:ascii="Arial" w:cs="Arial" w:eastAsia="Arial" w:hAnsi="Arial"/>
          <w:color w:val="333333"/>
          <w:sz w:val="22"/>
          <w:szCs w:val="22"/>
        </w:rPr>
        <w:t xml:space="preserve">DIFFUSE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~300 million Americans share $87B - roughly $290 per person per year, too small to organize against.</w:t>
      </w:r>
    </w:p>
    <w:p>
      <w:pPr>
        <w:spacing w:line="336" w:lineRule="auto"/>
      </w:pPr>
      <w:r>
        <w:rPr>
          <w:rFonts w:ascii="Arial" w:cs="Arial" w:eastAsia="Arial" w:hAnsi="Arial"/>
          <w:color w:val="333333"/>
          <w:sz w:val="22"/>
          <w:szCs w:val="22"/>
        </w:rPr>
        <w:t xml:space="preserve">Every Farm Bill subsidy goes to a specific congressional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legislators trade votes for local money.</w:t>
      </w:r>
    </w:p>
    <w:p>
      <w:pPr>
        <w:spacing w:line="336" w:lineRule="auto"/>
      </w:pPr>
      <w:r>
        <w:rPr>
          <w:rFonts w:ascii="Arial" w:cs="Arial" w:eastAsia="Arial" w:hAnsi="Arial"/>
          <w:color w:val="333333"/>
          <w:sz w:val="22"/>
          <w:szCs w:val="22"/>
        </w:rPr>
        <w:t xml:space="preserve">A bipartisan COALITION (urban SNAP + rural commodity supports) makes the bill nearly impossible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Distortions Subsidies Create</w:t>
      </w:r>
    </w:p>
    <w:p>
      <w:pPr>
        <w:keepNext/>
        <w:spacing w:line="288" w:lineRule="auto"/>
        <w:jc w:val="left"/>
      </w:pPr>
      <w:r>
        <w:rPr>
          <w:rFonts w:ascii="Trebuchet MS" w:cs="Trebuchet MS" w:eastAsia="Trebuchet MS" w:hAnsi="Trebuchet MS"/>
          <w:b/>
          <w:bCs/>
          <w:i w:val="false"/>
          <w:iCs w:val="false"/>
          <w:color w:val="1B2A4A"/>
          <w:sz w:val="26"/>
          <w:szCs w:val="26"/>
        </w:rPr>
        <w:t xml:space="preserve">Six Distortions</w:t>
      </w:r>
    </w:p>
    <w:p>
      <w:pPr>
        <w:spacing w:line="336" w:lineRule="auto"/>
      </w:pPr>
      <w:r>
        <w:rPr>
          <w:rFonts w:ascii="Arial" w:cs="Arial" w:eastAsia="Arial" w:hAnsi="Arial"/>
          <w:color w:val="333333"/>
          <w:sz w:val="22"/>
          <w:szCs w:val="22"/>
        </w:rPr>
        <w:t xml:space="preserve">DEADWEIGHT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subsidized goods are produced beyond their social value.</w:t>
      </w:r>
    </w:p>
    <w:p>
      <w:pPr>
        <w:spacing w:line="336" w:lineRule="auto"/>
      </w:pPr>
      <w:r>
        <w:rPr>
          <w:rFonts w:ascii="Arial" w:cs="Arial" w:eastAsia="Arial" w:hAnsi="Arial"/>
          <w:color w:val="333333"/>
          <w:sz w:val="22"/>
          <w:szCs w:val="22"/>
        </w:rPr>
        <w:t xml:space="preserve">CROWDING OUT: corn ethanol subsidies raise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prices for livestock farmers.</w:t>
      </w:r>
    </w:p>
    <w:p>
      <w:pPr>
        <w:spacing w:line="336" w:lineRule="auto"/>
      </w:pPr>
      <w:r>
        <w:rPr>
          <w:rFonts w:ascii="Arial" w:cs="Arial" w:eastAsia="Arial" w:hAnsi="Arial"/>
          <w:color w:val="333333"/>
          <w:sz w:val="22"/>
          <w:szCs w:val="22"/>
        </w:rPr>
        <w:t xml:space="preserve">INPUT INFLATION: the pre-IRA solar ITC and EV credit raised input prices by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percent.</w:t>
      </w:r>
    </w:p>
    <w:p>
      <w:pPr>
        <w:spacing w:line="336" w:lineRule="auto"/>
      </w:pPr>
      <w:r>
        <w:rPr>
          <w:rFonts w:ascii="Arial" w:cs="Arial" w:eastAsia="Arial" w:hAnsi="Arial"/>
          <w:color w:val="333333"/>
          <w:sz w:val="22"/>
          <w:szCs w:val="22"/>
        </w:rPr>
        <w:t xml:space="preserve">PICKING WINNERS: government bets on specific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may underperform unsubsidized rivals.</w:t>
      </w:r>
    </w:p>
    <w:p>
      <w:pPr>
        <w:spacing w:line="336" w:lineRule="auto"/>
      </w:pPr>
      <w:r>
        <w:rPr>
          <w:rFonts w:ascii="Arial" w:cs="Arial" w:eastAsia="Arial" w:hAnsi="Arial"/>
          <w:color w:val="333333"/>
          <w:sz w:val="22"/>
          <w:szCs w:val="22"/>
        </w:rPr>
        <w:t xml:space="preserve">RENT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industries spend political resources on lobbying to keep subsidies instead of producing new value.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Key Takeaways</w:t>
      </w:r>
    </w:p>
    <w:p>
      <w:pPr>
        <w:keepNext/>
        <w:spacing w:line="288" w:lineRule="auto"/>
        <w:jc w:val="left"/>
      </w:pPr>
      <w:r>
        <w:rPr>
          <w:rFonts w:ascii="Trebuchet MS" w:cs="Trebuchet MS" w:eastAsia="Trebuchet MS" w:hAnsi="Trebuchet MS"/>
          <w:b/>
          <w:bCs/>
          <w:i w:val="false"/>
          <w:iCs w:val="false"/>
          <w:color w:val="1B2A4A"/>
          <w:sz w:val="26"/>
          <w:szCs w:val="26"/>
        </w:rPr>
        <w:t xml:space="preserve">Lesson Wrap Up Review</w:t>
      </w:r>
    </w:p>
    <w:p>
      <w:pPr>
        <w:spacing w:line="336" w:lineRule="auto"/>
      </w:pPr>
      <w:r>
        <w:rPr>
          <w:rFonts w:ascii="Arial" w:cs="Arial" w:eastAsia="Arial" w:hAnsi="Arial"/>
          <w:color w:val="333333"/>
          <w:sz w:val="22"/>
          <w:szCs w:val="22"/>
        </w:rPr>
        <w:t xml:space="preserve">A SUBSIDY is a government payment that lowers producer cost; supply shifts 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Three big federal programs: the Farm Bill, the EV tax credit, and the Solar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4330740"/>
            <wp:docPr id="3" name="mllp:chart_farm_subsidies_by_state|subsidies-guided-notes-student|docx|farm-bill|" title="mllp:chart_farm_subsidies_by_state|subsidies-guided-notes-student|docx|farm-bill|" descr="Bar chart of annual federal farm subsidy receipts by state. Six bars: (1) Iowa $2.0 billion per year, (2) Illinois $1.6 billion, (3) Texas $1.5 billion, (4) Nebraska $1.4 billion, (5) Kansas $1.2 billion, (6) average of all 45 other states $0.15 billion per state. Caption: 'Top 5 states (IA, IL, TX, NE, KS) collect more than 50 percent of all federal farm subsidy dollars (about 53 percent).' Source: USDA ERS + EWG Farm Subsidy Database (averaged recent annual data)."/>
            <wp:cNvGraphicFramePr>
              <a:graphicFrameLocks noChangeAspect="1"/>
            </wp:cNvGraphicFramePr>
            <a:graphic>
              <a:graphicData uri="http://schemas.openxmlformats.org/drawingml/2006/picture">
                <pic:pic>
                  <pic:nvPicPr>
                    <pic:cNvPr id="0" name="chart_farm_subsidies_by_state.png"/>
                    <pic:cNvPicPr/>
                  </pic:nvPicPr>
                  <pic:blipFill>
                    <a:blip r:embed="rId11"/>
                    <a:stretch>
                      <a:fillRect/>
                    </a:stretch>
                  </pic:blipFill>
                  <pic:spPr>
                    <a:xfrm>
                      <a:off x="0" y="0"/>
                      <a:ext cx="5303520" cy="4330740"/>
                    </a:xfrm>
                    <a:prstGeom prst="rect"/>
                  </pic:spPr>
                </pic:pic>
              </a:graphicData>
            </a:graphic>
          </wp:inline>
        </w:drawing>
      </w:r>
    </w:p>
    <w:p>
      <w:pPr>
        <w:spacing w:line="336" w:lineRule="auto"/>
      </w:pPr>
      <w:r>
        <w:rPr>
          <w:rFonts w:ascii="Arial" w:cs="Arial" w:eastAsia="Arial" w:hAnsi="Arial"/>
          <w:color w:val="333333"/>
          <w:sz w:val="22"/>
          <w:szCs w:val="22"/>
        </w:rPr>
        <w:t xml:space="preserve">Subsidies are durable because of CONCENTRATED BENEFIT and DIFFUSE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Every subsidy has DISTORTIONS: deadweight loss, crowding out, rent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3725465"/>
            <wp:docPr id="1" name="mllp:chart_subsidy_supply_shift|subsidies-guided-notes-student|docx|subsidy|" title="mllp:chart_subsidy_supply_shift|subsidies-guided-notes-student|docx|subsidy|" descr="Supply-demand diagram of a per-unit subsidy. The downward-sloping demand curve runs from upper-left to lower-right. The original supply curve S0 (private cost) slopes upward and crosses demand at the market equilibrium near a price of $50 and a quantity of 50 units, marked with a navy dot labeled 'Market equilibrium (no subsidy)' (the unregulated outcome). A second dashed coral supply curve S1 sits BELOW the original supply (shifted DOWN/RIGHT), representing S1 = S0 minus per-unit subsidy. The dashed post-subsidy supply curve crosses demand at a LOWER price (~$37.50) and a HIGHER quantity (~62.5) labeled 'Post-subsidy equilibrium.' The vertical gap between the two supply curves at the new quantity is the PER-UNIT SUBSIDY. The horizontal gap on the quantity axis between original quantity (50) and new quantity (62.5) is the QUANTITY INCREASE caused by the subsidy. Dotted navy guide lines drop from each equilibrium to the price and quantity axes so students can read both off the chart. Caption: 'A subsidy shifts supply DOWN/RIGHT; the consumer price falls and the quantity sold rises. The vertical gap = per-unit subsidy.'"/>
            <wp:cNvGraphicFramePr>
              <a:graphicFrameLocks noChangeAspect="1"/>
            </wp:cNvGraphicFramePr>
            <a:graphic>
              <a:graphicData uri="http://schemas.openxmlformats.org/drawingml/2006/picture">
                <pic:pic>
                  <pic:nvPicPr>
                    <pic:cNvPr id="0" name="chart_subsidy_supply_shift.png"/>
                    <pic:cNvPicPr/>
                  </pic:nvPicPr>
                  <pic:blipFill>
                    <a:blip r:embed="rId9"/>
                    <a:stretch>
                      <a:fillRect/>
                    </a:stretch>
                  </pic:blipFill>
                  <pic:spPr>
                    <a:xfrm>
                      <a:off x="0" y="0"/>
                      <a:ext cx="5303520" cy="3725465"/>
                    </a:xfrm>
                    <a:prstGeom prst="rect"/>
                  </pic:spPr>
                </pic:pic>
              </a:graphicData>
            </a:graphic>
          </wp:inline>
        </w:drawing>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2026-06-11T05:49:49.341Z</dcterms:created>
  <dcterms:modified xsi:type="dcterms:W3CDTF">2026-06-11T05:49:49.342Z</dcterms:modified>
</cp:coreProperties>
</file>

<file path=docProps/custom.xml><?xml version="1.0" encoding="utf-8"?>
<Properties xmlns="http://schemas.openxmlformats.org/officeDocument/2006/custom-properties" xmlns:vt="http://schemas.openxmlformats.org/officeDocument/2006/docPropsVTypes"/>
</file>