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GOVERNMENT</w:t>
            </w:r>
          </w:p>
          <w:p>
            <w:pPr>
              <w:pStyle w:val="Heading1"/>
              <w:spacing w:after="40"/>
              <w:jc w:val="center"/>
            </w:pPr>
            <w:r>
              <w:rPr>
                <w:rFonts w:ascii="Trebuchet MS" w:cs="Trebuchet MS" w:eastAsia="Trebuchet MS" w:hAnsi="Trebuchet MS"/>
                <w:b/>
                <w:bCs/>
                <w:color w:val="FFFFFF"/>
                <w:spacing w:val="15"/>
                <w:sz w:val="40"/>
                <w:szCs w:val="40"/>
              </w:rPr>
              <w:t xml:space="preserve">SECURITY AND LIBERTY AFTER SEPTEMBER 11</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a Post-9/11 Trade-Off</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sunset provision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part of a law that ends automatically on a set date unless Congress votes to renew 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USA PATRIOT Act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law signed on October 26, 2001 that expanded federal investigative powers after September 11.</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probable cause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standard of evidence police normally must show a judge before a search is approved.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Aviation and Transportation Security Act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law signed on November 19, 2001 that created the TSA and made airport screening a federal job.</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 parte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court decision made with only one side present to argue.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civil liberties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Individual freedoms, such as speech and privacy, that the government may not take away.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tangible things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phrase the statute uses for physical items, including books, records, papers, and documents.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Transportation Security Administration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federal agency created in 2001 to run security screening at airports.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congressional oversight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power of Congress to require reports on how an agency uses the authority it was given.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Foreign Intelligence Surveillance Court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federal court that reviews government applications in national-security investigations.</w:t>
            </w:r>
          </w:p>
        </w:tc>
      </w:tr>
    </w:tbl>
    <w:p>
      <w:pPr>
        <w:spacing w:after="120"/>
      </w:pPr>
    </w:p>
    <w:p>
      <w:pPr>
        <w:keepNext/>
        <w:spacing w:after="80" w:before="80"/>
      </w:pPr>
      <w:r>
        <w:rPr>
          <w:rFonts w:ascii="Arial" w:cs="Arial" w:eastAsia="Arial" w:hAnsi="Arial"/>
          <w:b/>
          <w:bCs/>
          <w:color w:val="1B2A4A"/>
          <w:sz w:val="24"/>
          <w:szCs w:val="24"/>
        </w:rPr>
        <w:t xml:space="preserve">A Note on What This Packet Covers</w:t>
      </w:r>
    </w:p>
    <w:p>
      <w:pPr>
        <w:spacing w:line="336" w:lineRule="auto"/>
        <w:jc w:val="left"/>
      </w:pPr>
      <w:r>
        <w:rPr>
          <w:rFonts w:ascii="Arial" w:cs="Arial" w:eastAsia="Arial" w:hAnsi="Arial"/>
          <w:b w:val="false"/>
          <w:bCs w:val="false"/>
          <w:i w:val="false"/>
          <w:iCs w:val="false"/>
          <w:color w:val="333333"/>
          <w:sz w:val="22"/>
          <w:szCs w:val="22"/>
        </w:rPr>
        <w:t xml:space="preserve">This packet covers what Congress argued and enacted between September 2001 and late 2003: the debate on the Senate floor on October 25, 2001, the text of Section 215 as Congress wrote it, and the sunset date and reporting rules Congress built into the law at the time. It does not cover any later event, disclosure, program, or political dispute about how this law - or any surveillance law - was used after 2003. When this packet asks you to take a position, take it on the trade-off Congress actually faced in 2001, using only the evidence printed in this packet and your Guided Notes.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Security and Liberty in New Situations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school district writes a new attendance policy into its handbook, but adds a line saying the rule stops applying after three years unless the school board takes action to keep it going. Staff refer to that built-in stopping point as the </w:t>
      </w:r>
      <w:r>
        <w:rPr>
          <w:rFonts w:ascii="Arial" w:cs="Arial" w:eastAsia="Arial" w:hAnsi="Arial"/>
          <w:b/>
          <w:bCs/>
          <w:i/>
          <w:iCs/>
          <w:color w:val="145F58"/>
          <w:sz w:val="22"/>
          <w:szCs w:val="22"/>
        </w:rPr>
        <w:t xml:space="preserve">sunset</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provision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sunset provision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An officer wants to search the trunk of a parked car without the owner’s permission, so first the officer must give a judge specific facts that add up to a reasonable belief that evidence of a crime is inside. Lawyers call that required threshold </w:t>
      </w:r>
      <w:r>
        <w:rPr>
          <w:rFonts w:ascii="Arial" w:cs="Arial" w:eastAsia="Arial" w:hAnsi="Arial"/>
          <w:b/>
          <w:bCs/>
          <w:i/>
          <w:iCs/>
          <w:color w:val="145F58"/>
          <w:sz w:val="22"/>
          <w:szCs w:val="22"/>
        </w:rPr>
        <w:t xml:space="preserve">probable</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cause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probable cause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 landlord asks a judge to approve an emergency lockout before the tenant even knows a hearing was scheduled, so only the landlord’s lawyer speaks in the courtroom that day. Attorneys describe a ruling made under those one-sided conditions as an </w:t>
      </w:r>
      <w:r>
        <w:rPr>
          <w:rFonts w:ascii="Arial" w:cs="Arial" w:eastAsia="Arial" w:hAnsi="Arial"/>
          <w:b/>
          <w:bCs/>
          <w:i/>
          <w:iCs/>
          <w:color w:val="145F58"/>
          <w:sz w:val="22"/>
          <w:szCs w:val="22"/>
        </w:rPr>
        <w:t xml:space="preserve">ex</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parte</w:t>
      </w:r>
      <w:r>
        <w:rPr>
          <w:rFonts w:ascii="Arial" w:cs="Arial" w:eastAsia="Arial" w:hAnsi="Arial"/>
          <w:color w:val="1B2A4A"/>
          <w:sz w:val="22"/>
          <w:szCs w:val="22"/>
        </w:rPr>
        <w:t xml:space="preserve"> order.</w:t>
      </w:r>
    </w:p>
    <w:p>
      <w:pPr>
        <w:keepLines/>
        <w:spacing w:after="160"/>
        <w:ind w:left="360"/>
      </w:pPr>
      <w:r>
        <w:rPr>
          <w:rFonts w:ascii="Arial" w:cs="Arial" w:eastAsia="Arial" w:hAnsi="Arial"/>
          <w:b/>
          <w:bCs/>
          <w:i/>
          <w:iCs/>
          <w:color w:val="145F58"/>
          <w:sz w:val="22"/>
          <w:szCs w:val="22"/>
        </w:rPr>
        <w:t xml:space="preserve">ex parte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 city ordinance lets health officials collect a bakery’s delivery invoices, its printed inspection logs, and its handwritten shift schedules, but the wording says nothing about anything you could not actually pick up and hold. City lawyers use the two-word phrase </w:t>
      </w:r>
      <w:r>
        <w:rPr>
          <w:rFonts w:ascii="Arial" w:cs="Arial" w:eastAsia="Arial" w:hAnsi="Arial"/>
          <w:b/>
          <w:bCs/>
          <w:i/>
          <w:iCs/>
          <w:color w:val="145F58"/>
          <w:sz w:val="22"/>
          <w:szCs w:val="22"/>
        </w:rPr>
        <w:t xml:space="preserve">tangible</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things</w:t>
      </w:r>
      <w:r>
        <w:rPr>
          <w:rFonts w:ascii="Arial" w:cs="Arial" w:eastAsia="Arial" w:hAnsi="Arial"/>
          <w:color w:val="1B2A4A"/>
          <w:sz w:val="22"/>
          <w:szCs w:val="22"/>
        </w:rPr>
        <w:t xml:space="preserve"> for that whole hold-in-your-hand category.</w:t>
      </w:r>
    </w:p>
    <w:p>
      <w:pPr>
        <w:keepLines/>
        <w:spacing w:after="160"/>
        <w:ind w:left="360"/>
      </w:pPr>
      <w:r>
        <w:rPr>
          <w:rFonts w:ascii="Arial" w:cs="Arial" w:eastAsia="Arial" w:hAnsi="Arial"/>
          <w:b/>
          <w:bCs/>
          <w:i/>
          <w:iCs/>
          <w:color w:val="145F58"/>
          <w:sz w:val="22"/>
          <w:szCs w:val="22"/>
        </w:rPr>
        <w:t xml:space="preserve">tangible things</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After lawmakers grant a new federal safety agency broad power to inspect factories nationwide, they add a rule requiring that agency to file a written account with House and Senate committees every six months explaining exactly how it has been using that power. Political scientists call this kind of built-in check by elected lawmakers </w:t>
      </w:r>
      <w:r>
        <w:rPr>
          <w:rFonts w:ascii="Arial" w:cs="Arial" w:eastAsia="Arial" w:hAnsi="Arial"/>
          <w:b/>
          <w:bCs/>
          <w:i/>
          <w:iCs/>
          <w:color w:val="145F58"/>
          <w:sz w:val="22"/>
          <w:szCs w:val="22"/>
        </w:rPr>
        <w:t xml:space="preserve">congressional</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oversight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congressional oversight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Build the Case - What Each Side Argued in 2001</w:t>
      </w:r>
    </w:p>
    <w:p>
      <w:pPr>
        <w:spacing w:line="336" w:lineRule="auto"/>
        <w:jc w:val="left"/>
      </w:pPr>
      <w:r>
        <w:rPr>
          <w:rFonts w:ascii="Arial" w:cs="Arial" w:eastAsia="Arial" w:hAnsi="Arial"/>
          <w:b w:val="false"/>
          <w:bCs w:val="false"/>
          <w:i w:val="false"/>
          <w:iCs w:val="false"/>
          <w:color w:val="333333"/>
          <w:sz w:val="22"/>
          <w:szCs w:val="22"/>
        </w:rPr>
        <w:t xml:space="preserve">Each row states something you already have from the lesson slides on the two senators and the vote, and from the matching Guided Notes sections - you do not need Part 4 for this Part. For each row, write what Sen. Hatch actually argued and what Sen. Feingold actually argued on that point, on the same day the Senate passed the bill. Write in short phrases, not full sentences.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Congress Was Deciding</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Sen. Hatch’s Case For the Bill</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Sen. Feingold’s Case Against the Bill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the bill mainly does, in each senator’s own framing</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Gives investigators tools to find, track, and prosecute terrorists in the U.S. without undermining civil liberties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Would make it easier to catch terrorists, but only by giving up the freedoms that make the country worth defending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each senator connects the bill to the wider war on terrorism</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These tools are the domestic complement to the military weapons already being used against terrorists overseas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Preserving freedom is a main reason the country is fighting this war; losing liberties could mean losing the war without firing a shot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each senator describes the process that produced the final bill</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product of weeks of bipartisan negotiation among both parties, the House, and the administration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administration’s original proposal was troubling to him even before it was negotiated into its final form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each senator actually voted on October 25, 2001</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Voted yes; the ranking Republican on the Senate Judiciary Committee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Cast the lone “no” vote among all 100 senators</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Reading Section 215 Itself</w:t>
      </w:r>
    </w:p>
    <w:p>
      <w:pPr>
        <w:spacing w:line="336" w:lineRule="auto"/>
        <w:jc w:val="left"/>
      </w:pPr>
      <w:r>
        <w:rPr>
          <w:rFonts w:ascii="Arial" w:cs="Arial" w:eastAsia="Arial" w:hAnsi="Arial"/>
          <w:b w:val="false"/>
          <w:bCs w:val="false"/>
          <w:i w:val="false"/>
          <w:iCs w:val="false"/>
          <w:color w:val="333333"/>
          <w:sz w:val="22"/>
          <w:szCs w:val="22"/>
        </w:rPr>
        <w:t xml:space="preserve">Section 215 is the provision both supporters and critics of the law point to most often. Its opening subsections are printed below.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United States person (U.S. person) - a U.S. citizen or a lawful permanent resident.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clandestine intelligence activities - secret intelligence work carried out for a foreign power.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Executive Order 12333 - a 1981 presidential order setting the ground rules for U.S. intelligence agencies.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Assistant Special Agent in Charge - a senior supervisory rank inside an FBI field office.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section 103(a) - the part of the 1978 law that created the court this section sends applications to.</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chapter 43 of title 28 - the part of the U.S. Code that governs United States Magistrate Judges.</w:t>
      </w:r>
    </w:p>
    <w:p>
      <w:pPr>
        <w:spacing w:after="80"/>
      </w:pPr>
    </w:p>
    <w:p>
      <w:pPr>
        <w:keepNext/>
        <w:keepLines/>
        <w:spacing w:after="40" w:before="40"/>
      </w:pPr>
      <w:r>
        <w:rPr>
          <w:rFonts w:ascii="Arial" w:cs="Arial" w:eastAsia="Arial" w:hAnsi="Arial"/>
          <w:b/>
          <w:bCs/>
          <w:color w:val="1B2A4A"/>
          <w:sz w:val="22"/>
          <w:szCs w:val="22"/>
        </w:rPr>
        <w:t xml:space="preserve">USA PATRIOT Act of 2001 (Public Law 107-56) (The 107th Congress of the United States, October 26, 2001)</w:t>
      </w:r>
    </w:p>
    <w:p>
      <w:pPr>
        <w:keepNext/>
        <w:keepLines/>
        <w:spacing w:after="80"/>
      </w:pPr>
      <w:r>
        <w:rPr>
          <w:rFonts w:ascii="Arial" w:cs="Arial" w:eastAsia="Arial" w:hAnsi="Arial"/>
          <w:i w:val="false"/>
          <w:iCs w:val="false"/>
          <w:color w:val="333333"/>
          <w:sz w:val="22"/>
          <w:szCs w:val="22"/>
        </w:rPr>
        <w:t xml:space="preserve">Section 215 rewrote part of a 1978 law called the Foreign Intelligence Surveillance Act. The opening of that new section is printed below exactly as Congress wrote it - no words were added, changed, or reordered. Later subsections of the same section are not reprinted here.</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(a)(1) The Director of the Federal Bureau of Investigation or a designee of the Director (whose rank shall be no lower than Assistant Special Agent in Charge) may make an application for an order requiring the production of any tangible things (including books, records, papers, documents, and other items) for an investigation to protect against international terrorism or clandestine intelligence activities, provided that such investigation of a United States person is not conducted solely upon the basis of activities protected by the first amendment to the Constitution. (2) An investigation conducted under this section shall - (A) be conducted under guidelines approved by the Attorney General under Executive Order 12333 (or a successor order); and (B) not be conducted of a United States person solely upon the basis of activities protected by the first amendment to the Constitution of the United States. (b) Each application under this section - (1) shall be made to - (A) a judge of the court established by section 103(a); or (B) a United States Magistrate Judge under chapter 43 of title 28, United States Code, who is publicly designated by the Chief Justice of the United States to have the power to hear applications and grant orders for the production of tangible things under this section on behalf of a judge of that court; and (2) shall specify that the records concerned are sought for an authorized investigation conducted in accordance with subsection (a)(2) to obtain foreign intelligence information not concerning a United States person or to protect against international terrorism or clandestine intelligence activities.</w:t>
      </w:r>
    </w:p>
    <w:p>
      <w:pPr>
        <w:keepLines/>
        <w:spacing w:after="120"/>
        <w:ind w:right="240"/>
        <w:jc w:val="right"/>
      </w:pPr>
      <w:r>
        <w:rPr>
          <w:rFonts w:ascii="Arial" w:cs="Arial" w:eastAsia="Arial" w:hAnsi="Arial"/>
          <w:color w:val="333333"/>
          <w:sz w:val="18"/>
          <w:szCs w:val="18"/>
        </w:rPr>
        <w:t xml:space="preserve">— Source: USA PATRIOT Act, Pub. L. No. 107-56, sec. 215, 115 Stat. 272, 287-288 (2001) (enacting 50 U.S.C. 1861).</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heading above the excerpt, not the excerpt itself. Who wrote this text, and on what date did it become law?</w:t>
      </w:r>
    </w:p>
    <w:p>
      <w:pPr>
        <w:keepNext/>
        <w:keepLines/>
        <w:spacing w:after="120"/>
        <w:ind w:left="360"/>
      </w:pPr>
      <w:r>
        <w:rPr>
          <w:rFonts w:ascii="Arial" w:cs="Arial" w:eastAsia="Arial" w:hAnsi="Arial"/>
          <w:b/>
          <w:bCs/>
          <w:i/>
          <w:iCs/>
          <w:color w:val="145F58"/>
          <w:sz w:val="22"/>
          <w:szCs w:val="22"/>
        </w:rPr>
        <w:t xml:space="preserve">(1) Author: The 107th Congress of the United States. (2) It became law on October 26, 2001, when President Bush signed it.</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citation line beneath the excerpt, what is the short public name of the law this section belongs to, and what specific number identifies where this exact passage sits within it?</w:t>
      </w:r>
    </w:p>
    <w:p>
      <w:pPr>
        <w:keepNext/>
        <w:keepLines/>
        <w:spacing w:after="120"/>
        <w:ind w:left="360"/>
      </w:pPr>
      <w:r>
        <w:rPr>
          <w:rFonts w:ascii="Arial" w:cs="Arial" w:eastAsia="Arial" w:hAnsi="Arial"/>
          <w:b/>
          <w:bCs/>
          <w:i/>
          <w:iCs/>
          <w:color w:val="145F58"/>
          <w:sz w:val="22"/>
          <w:szCs w:val="22"/>
        </w:rPr>
        <w:t xml:space="preserve">(1) The law’s short public name is the USA PATRIOT Act. (2) The citation places this passage at section 215, Public Law 107-56, 115 Stat. 272, pages 287-288 of the Statutes at Large.</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who may apply for one of these orders, and what is the lowest rank a designee is allowed to hold?</w:t>
      </w:r>
    </w:p>
    <w:p>
      <w:pPr>
        <w:keepNext/>
        <w:keepLines/>
        <w:spacing w:after="120"/>
        <w:ind w:left="360"/>
      </w:pPr>
      <w:r>
        <w:rPr>
          <w:rFonts w:ascii="Arial" w:cs="Arial" w:eastAsia="Arial" w:hAnsi="Arial"/>
          <w:b/>
          <w:bCs/>
          <w:i/>
          <w:iCs/>
          <w:color w:val="145F58"/>
          <w:sz w:val="22"/>
          <w:szCs w:val="22"/>
        </w:rPr>
        <w:t xml:space="preserve">(1) The Director of the FBI, or a designee of the Director, may apply. (2) A designee’s rank may be no lower than Assistant Special Agent in Charge.</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The excerpt places one limit on investigating a United States person. In the excerpt’s own words, what must NOT be the sole basis for that investigation?</w:t>
      </w:r>
    </w:p>
    <w:p>
      <w:pPr>
        <w:keepNext/>
        <w:keepLines/>
        <w:spacing w:after="120"/>
        <w:ind w:left="360"/>
      </w:pPr>
      <w:r>
        <w:rPr>
          <w:rFonts w:ascii="Arial" w:cs="Arial" w:eastAsia="Arial" w:hAnsi="Arial"/>
          <w:b/>
          <w:bCs/>
          <w:i/>
          <w:iCs/>
          <w:color w:val="145F58"/>
          <w:sz w:val="22"/>
          <w:szCs w:val="22"/>
        </w:rPr>
        <w:t xml:space="preserve">Activities protected by the first amendment to the Constitution - the excerpt states the investigation of a United States person may not be conducted solely upon that basis.</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Your Guided Notes compare this order to an ordinary search, which normally requires a judge to find probable cause. Using the excerpt’s own wording, what did an application under this section actually have to state instead, and why might that difference matter to someone who has done nothing wrong?</w:t>
      </w:r>
    </w:p>
    <w:p>
      <w:pPr>
        <w:keepLines/>
        <w:spacing w:after="120"/>
        <w:ind w:left="360"/>
      </w:pPr>
      <w:r>
        <w:rPr>
          <w:rFonts w:ascii="Arial" w:cs="Arial" w:eastAsia="Arial" w:hAnsi="Arial"/>
          <w:b/>
          <w:bCs/>
          <w:i/>
          <w:iCs/>
          <w:color w:val="145F58"/>
          <w:sz w:val="22"/>
          <w:szCs w:val="22"/>
        </w:rPr>
        <w:t xml:space="preserve">(1) The application had to specify that the records sought were for an authorized investigation - it did not have to state probable cause that the person had committed a crime. (2) Accept any reasoned answer: a lower standard means an order can reach a law-abiding person’s records without that person being personally suspected of anything, which is the very tradeoff Sen. Feingold raised and Sen. Hatch defended in Part 3 of this packet.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Verdict - Take a Position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In one sentence each, state the strongest point Sen. Hatch makes for the law and the strongest point Sen. Feingold makes against it.</w:t>
      </w:r>
    </w:p>
    <w:p>
      <w:pPr>
        <w:keepLines/>
        <w:spacing w:after="160"/>
        <w:ind w:left="360"/>
      </w:pPr>
      <w:r>
        <w:rPr>
          <w:rFonts w:ascii="Arial" w:cs="Arial" w:eastAsia="Arial" w:hAnsi="Arial"/>
          <w:b/>
          <w:bCs/>
          <w:i/>
          <w:iCs/>
          <w:color w:val="145F58"/>
          <w:sz w:val="22"/>
          <w:szCs w:val="22"/>
        </w:rPr>
        <w:t xml:space="preserve">(1) Hatch: these tools help investigators find, track, and prosecute terrorists in the U.S. without undermining civil liberties. (2) Feingold: the country could lose the war on terrorism without firing a shot if it sacrifices the liberties that make it worth defending. Accept any answer that captures each senator’s central claim in the student’s own words.</w:t>
      </w:r>
    </w:p>
    <w:p>
      <w:pPr>
        <w:keepNext/>
        <w:keepLines/>
        <w:spacing w:after="40"/>
      </w:pPr>
      <w:r>
        <w:rPr>
          <w:rFonts w:ascii="Trebuchet MS" w:cs="Trebuchet MS" w:eastAsia="Trebuchet MS" w:hAnsi="Trebuchet MS"/>
          <w:b/>
          <w:bCs/>
          <w:color w:val="B84D38"/>
          <w:spacing w:val="12"/>
          <w:sz w:val="17"/>
          <w:szCs w:val="17"/>
        </w:rPr>
        <w:t xml:space="preserve">YOUR VERDICT</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Use three things: the statute’s own text from Part 4, both senators’ arguments from Part 3, and the vote count from your Guided Notes.</w:t>
      </w:r>
    </w:p>
    <w:p>
      <w:pPr>
        <w:keepNext/>
        <w:keepLines/>
        <w:spacing w:after="80" w:line="288" w:lineRule="auto"/>
        <w:ind w:left="380"/>
      </w:pPr>
      <w:r>
        <w:rPr>
          <w:rFonts w:ascii="Arial" w:cs="Arial" w:eastAsia="Arial" w:hAnsi="Arial"/>
          <w:b/>
          <w:bCs/>
          <w:color w:val="1B2A4A"/>
          <w:sz w:val="22"/>
          <w:szCs w:val="22"/>
        </w:rPr>
        <w:t xml:space="preserve">Then take a position. Was Section 215 a fair trade between security and liberty in the fall of 2001? Or did it give up too much liberty for too little security?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clearly stated position (either side is acceptable)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At least one specific detail from the statute’s actual wording in Part 4</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At least one specific point from Sen. Hatch’s or Sen. Feingold’s argument in Part 3</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honest sentence acknowledging the strongest point on the OTHER side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4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4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keepLines/>
        <w:spacing w:after="8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keepNext/>
        <w:spacing w:after="20" w:before="40"/>
      </w:pPr>
      <w:r>
        <w:rPr>
          <w:rFonts w:ascii="Trebuchet MS" w:cs="Trebuchet MS" w:eastAsia="Trebuchet MS" w:hAnsi="Trebuchet MS"/>
          <w:b/>
          <w:bCs/>
          <w:color w:val="145F58"/>
          <w:spacing w:val="12"/>
          <w:sz w:val="17"/>
          <w:szCs w:val="17"/>
        </w:rPr>
        <w:t xml:space="preserve">WHAT TO LOOK FOR IN THIS LESSON</w:t>
      </w:r>
    </w:p>
    <w:p>
      <w:pPr>
        <w:keepLines w:val="false"/>
        <w:spacing w:after="160"/>
        <w:ind w:left="360"/>
      </w:pPr>
      <w:r>
        <w:rPr>
          <w:rFonts w:ascii="Arial" w:cs="Arial" w:eastAsia="Arial" w:hAnsi="Arial"/>
          <w:color w:val="1B2A4A"/>
          <w:sz w:val="21"/>
          <w:szCs w:val="21"/>
        </w:rPr>
        <w:t xml:space="preserve">Either position is acceptable when it is defended with specific, accurate evidence and meets all four required elements above. A well-argued answer FOR the statute typically cites the First Amendment limit written into the same sentence that created the power, or Sen. Hatch’s tools-not-freedoms framing, while still naming the ex parte, one-sided review as the strongest point against. A well-argued answer AGAINST the statute typically cites the lower tangible-things standard compared to probable cause, or Sen. Feingold’s warning about losing freedoms without firing a shot, while still naming the sunset provision and twice-a-year reporting as the strongest point for. There is no single correct side; grade the reasoning and evidence, not the conclusion.</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2026-08-27T10:58:59.530Z</dcterms:created>
  <dcterms:modified xsi:type="dcterms:W3CDTF">2026-08-27T10:58:59.530Z</dcterms:modified>
</cp:coreProperties>
</file>

<file path=docProps/custom.xml><?xml version="1.0" encoding="utf-8"?>
<Properties xmlns="http://schemas.openxmlformats.org/officeDocument/2006/custom-properties" xmlns:vt="http://schemas.openxmlformats.org/officeDocument/2006/docPropsVTypes"/>
</file>