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PANDEMIC ECONOMICS: COVID'S LASTING IMPACT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Pandemic-Economics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Lockdown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Government-mandated stay-at-home orders that began in mid-March 2020; closed non-essential businesses, schools, and travel and triggered the sharpest quarterly GDP drop in modern records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COVID-19 recession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two-quarter U.S. recession of Q1-Q2 2020; the sharpest single-quarter GDP contraction in modern records and the shortest NBER recession in history at just 2 months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Quantitative easing (QE)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Large-scale Federal Reserve purchases of Treasury and mortgage bonds; expanded the Fed balance sheet from $4.2 trillion to about $9 trillion between 2020 and 2022</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CARES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$2.2 trillion stimulus law signed in March 2020; included $1,200 checks, expanded unemployment, and Paycheck Protection Program (PPP) loans for small businesses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Remote work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Performing job duties from home rather than the employer location; it surged during the 2020 lockdowns and settled into a permanent hybrid pattern that reshaped offices and commercial real estate by 2024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American Rescue Plan (ARP)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 trillion stimulus law signed in March 2021; included $1,400 checks and the expanded Child Tax Credit and took total pandemic stimulus over $5 trillion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CPI inflation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Year-over-year change in the Consumer Price Index; peaked at 9.1% in June 2022, the highest reading since 1981, and drove the Fed's rate-hike cycle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funds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interest rate banks charge each other for overnight lending; the Fed raised it from 0-0.25% to 5.25-5.50% between March 2022 and July 2023, the fastest hiking cycle in 40 years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Transitory inflation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Reserve's 2021 framing that the inflation surge would be temporary as supply chains normalized; the Fed dropped the term in November 2021 as prices kept rising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Inflation Reduction Act (IRA)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$370 billion 2022 climate and clean-energy law; part of the post-pandemic reshoring push alongside the CHIPS Act, and also let Medicare negotiate drug prices</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Pandemic-Economics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remote work</w:t>
      </w:r>
      <w:r>
        <w:rPr>
          <w:rFonts w:ascii="Arial" w:cs="Arial" w:eastAsia="Arial" w:hAnsi="Arial"/>
          <w:color w:val="555555"/>
          <w:sz w:val="21"/>
          <w:szCs w:val="21"/>
        </w:rPr>
        <w:t xml:space="preserve">   ·   </w:t>
      </w:r>
      <w:r>
        <w:rPr>
          <w:rFonts w:ascii="Arial" w:cs="Arial" w:eastAsia="Arial" w:hAnsi="Arial"/>
          <w:color w:val="1B2A4A"/>
          <w:sz w:val="21"/>
          <w:szCs w:val="21"/>
        </w:rPr>
        <w:t xml:space="preserve">cpi inflation</w:t>
      </w:r>
      <w:r>
        <w:rPr>
          <w:rFonts w:ascii="Arial" w:cs="Arial" w:eastAsia="Arial" w:hAnsi="Arial"/>
          <w:color w:val="555555"/>
          <w:sz w:val="21"/>
          <w:szCs w:val="21"/>
        </w:rPr>
        <w:t xml:space="preserve">   ·   </w:t>
      </w:r>
      <w:r>
        <w:rPr>
          <w:rFonts w:ascii="Arial" w:cs="Arial" w:eastAsia="Arial" w:hAnsi="Arial"/>
          <w:color w:val="1B2A4A"/>
          <w:sz w:val="21"/>
          <w:szCs w:val="21"/>
        </w:rPr>
        <w:t xml:space="preserve">quantitative easing</w:t>
      </w:r>
      <w:r>
        <w:rPr>
          <w:rFonts w:ascii="Arial" w:cs="Arial" w:eastAsia="Arial" w:hAnsi="Arial"/>
          <w:color w:val="555555"/>
          <w:sz w:val="21"/>
          <w:szCs w:val="21"/>
        </w:rPr>
        <w:t xml:space="preserve">   ·   </w:t>
      </w:r>
      <w:r>
        <w:rPr>
          <w:rFonts w:ascii="Arial" w:cs="Arial" w:eastAsia="Arial" w:hAnsi="Arial"/>
          <w:color w:val="1B2A4A"/>
          <w:sz w:val="21"/>
          <w:szCs w:val="21"/>
        </w:rPr>
        <w:t xml:space="preserve">lockdown</w:t>
      </w:r>
      <w:r>
        <w:rPr>
          <w:rFonts w:ascii="Arial" w:cs="Arial" w:eastAsia="Arial" w:hAnsi="Arial"/>
          <w:color w:val="555555"/>
          <w:sz w:val="21"/>
          <w:szCs w:val="21"/>
        </w:rPr>
        <w:t xml:space="preserve">   ·   </w:t>
      </w:r>
      <w:r>
        <w:rPr>
          <w:rFonts w:ascii="Arial" w:cs="Arial" w:eastAsia="Arial" w:hAnsi="Arial"/>
          <w:color w:val="1B2A4A"/>
          <w:sz w:val="21"/>
          <w:szCs w:val="21"/>
        </w:rPr>
        <w:t xml:space="preserve">transitory inflation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government-mandated stay-at-home orders that began in mid-March 2020 and closed non-essential businesses, schools, and travel are a </w:t>
      </w:r>
      <w:r>
        <w:rPr>
          <w:rFonts w:ascii="Arial" w:cs="Arial" w:eastAsia="Arial" w:hAnsi="Arial"/>
          <w:b/>
          <w:bCs/>
          <w:i/>
          <w:iCs/>
          <w:color w:val="145F58"/>
          <w:sz w:val="22"/>
          <w:szCs w:val="22"/>
        </w:rPr>
        <w:t xml:space="preserve">Lockdown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Lockdown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Federal Reserve large-scale bond purchases that expanded the Fed balance sheet from $4.2 trillion to about $9 trillion between 2020 and 2022 are </w:t>
      </w:r>
      <w:r>
        <w:rPr>
          <w:rFonts w:ascii="Arial" w:cs="Arial" w:eastAsia="Arial" w:hAnsi="Arial"/>
          <w:b/>
          <w:bCs/>
          <w:i/>
          <w:iCs/>
          <w:color w:val="145F58"/>
          <w:sz w:val="22"/>
          <w:szCs w:val="22"/>
        </w:rPr>
        <w:t xml:space="preserve">Quantitative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easing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Quantitative easing</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Performing job duties from home rather than the employer location, which became a permanent hybrid pattern after the 2020 lockdowns, is </w:t>
      </w:r>
      <w:r>
        <w:rPr>
          <w:rFonts w:ascii="Arial" w:cs="Arial" w:eastAsia="Arial" w:hAnsi="Arial"/>
          <w:b/>
          <w:bCs/>
          <w:i/>
          <w:iCs/>
          <w:color w:val="145F58"/>
          <w:sz w:val="22"/>
          <w:szCs w:val="22"/>
        </w:rPr>
        <w:t xml:space="preserve">Remote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work</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Remote work</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year-over-year change in the Consumer Price Index, which peaked at 9.1% in June 2022 - the highest since 1981 - is </w:t>
      </w:r>
      <w:r>
        <w:rPr>
          <w:rFonts w:ascii="Arial" w:cs="Arial" w:eastAsia="Arial" w:hAnsi="Arial"/>
          <w:b/>
          <w:bCs/>
          <w:i/>
          <w:iCs/>
          <w:color w:val="145F58"/>
          <w:sz w:val="22"/>
          <w:szCs w:val="22"/>
        </w:rPr>
        <w:t xml:space="preserve">CPI</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inflation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CPI inflation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Fed's 2021 framing that the price surge would be temporary, a term it dropped in November 2021 as prices kept rising, is </w:t>
      </w:r>
      <w:r>
        <w:rPr>
          <w:rFonts w:ascii="Arial" w:cs="Arial" w:eastAsia="Arial" w:hAnsi="Arial"/>
          <w:b/>
          <w:bCs/>
          <w:i/>
          <w:iCs/>
          <w:color w:val="145F58"/>
          <w:sz w:val="22"/>
          <w:szCs w:val="22"/>
        </w:rPr>
        <w:t xml:space="preserve">Transitory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inflation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Transitory inflation</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Explain the Cross-Cycle Story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Vasquez, explain in 5-7 sentences why the COVID recession was the SHORTEST in NBER history (just 2 months) despite the LARGEST single-quarter GDP collapse on record. Identify at least THREE specific policy moves that drove the fast recovery, and cite at least ONE specific number from this lesson to defend your reasoning.</w:t>
      </w:r>
    </w:p>
    <w:p>
      <w:pPr>
        <w:keepLines/>
        <w:spacing w:after="160"/>
        <w:ind w:left="360"/>
      </w:pPr>
      <w:r>
        <w:rPr>
          <w:rFonts w:ascii="Arial" w:cs="Arial" w:eastAsia="Arial" w:hAnsi="Arial"/>
          <w:b/>
          <w:bCs/>
          <w:i/>
          <w:iCs/>
          <w:color w:val="145F58"/>
          <w:sz w:val="22"/>
          <w:szCs w:val="22"/>
        </w:rPr>
        <w:t xml:space="preserve">The COVID recession was unique - the depth was historic but the duration was the shortest in NBER history (2 months). Three policy moves drove the recovery: (1) FISCAL: total stimulus across the CARES Act ($2.2T, March 2020), the December 2020 deal ($900B), and the American Rescue Plan ($1.9T, March 2021) reached over $5 trillion - about 25% of one year of 2020 GDP. The 1929 (TK 99) New Deal was about 50% of one year of 1939 GDP spread over six years; the 2008 (TK 91) TARP was about 5% of 2008 GDP - so the COVID stimulus was the LARGEST as a share of GDP in U.S. history. (2) MONETARY: the Fed cut rates from 1.5% to 0-0.25% in two weeks (faster than 2008), launched unlimited QE that doubled the balance sheet from $4.2T to $9.0T, and bought corporate bonds for the first time ever - the 1929 lender-of-last-resort lesson (TK 76, TK 99) applied within weeks, not years. (3) VACCINE ROLLOUT: first doses December 2020, broad availability April 2021, which reopened the service economy and unleashed pent-up demand. Real GDP regained its pre-pandemic level by Q1 2021 (just 9 months from the trough) and unemployment fell from 14.7% (April 2020) to 3.9% by December 2021. Compare to 2008-2010: GDP took 4 years to recover. Acceptable answers identify any 3 of: $5T+ fiscal stimulus, Fed zero-rate + QE, vaccine rollout, the 2-week speed of the monetary response, and direct corporate-bond purchases.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Vasquez, explain in 3-4 sentences which TWO Fed/Treasury moves you would tell the President SUCCEEDED and which TWO FAILED during the 2020-2024 cycle. Be specific about what was tried and what the result was.</w:t>
      </w:r>
    </w:p>
    <w:p>
      <w:pPr>
        <w:keepLines/>
        <w:spacing w:after="160"/>
        <w:ind w:left="360"/>
      </w:pPr>
      <w:r>
        <w:rPr>
          <w:rFonts w:ascii="Arial" w:cs="Arial" w:eastAsia="Arial" w:hAnsi="Arial"/>
          <w:b/>
          <w:bCs/>
          <w:i/>
          <w:iCs/>
          <w:color w:val="145F58"/>
          <w:sz w:val="22"/>
          <w:szCs w:val="22"/>
        </w:rPr>
        <w:t xml:space="preserve">TWO MOVES THAT SUCCEEDED: (1) The Fed's March 2020 zero-rate plus QE response combined with the Treasury's CARES Act produced the fastest recession-to-recovery cycle in U.S. history (GDP recovered in 9 months) - the 1929 lender-of-last-resort lesson (TK 76, TK 99) applied at unprecedented speed. (2) The Fed's 2022-2023 hiking cycle from 0-0.25% to 5.25-5.50% in 16 months brought CPI inflation down from 9.1% (June 2022) to about 2.5% by end-2024 WITHOUT triggering a recession - a SOFT LANDING that most economists predicted was impossible. TWO MOVES THAT FAILED: (1) The 'transitory inflation' framing in 2021 - the Fed insisted inflation would be temporary and dropped the term only in November 2021, when CPI was already above 6%, costing roughly 6 months of late hiking. (2) PPP fraud controls - of $800B in PPP loans, an estimated $200B+ was fraudulent or improper (DOJ 2024); the program kept workers on payroll but at a high efficiency cost. Accept reasonable variations identifying these or similar specific moves with concrete results.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Vasquez, the President wants to know how the COVID stimulus compares to the two prior crisis responses. In 3-4 sentences, compare the 2020-2024 stimulus to the 1929 New Deal (TK 99) and the 2008 TARP (TK 91) as a SHARE OF GDP, and state which was largest and why that comparison matters.</w:t>
      </w:r>
    </w:p>
    <w:p>
      <w:pPr>
        <w:keepLines/>
        <w:spacing w:after="160"/>
        <w:ind w:left="360"/>
      </w:pPr>
      <w:r>
        <w:rPr>
          <w:rFonts w:ascii="Arial" w:cs="Arial" w:eastAsia="Arial" w:hAnsi="Arial"/>
          <w:b/>
          <w:bCs/>
          <w:i/>
          <w:iCs/>
          <w:color w:val="145F58"/>
          <w:sz w:val="22"/>
          <w:szCs w:val="22"/>
        </w:rPr>
        <w:t xml:space="preserve">AS A SHARE OF GDP PER YEAR, the COVID response was the LARGEST of the three. COVID: over $5 trillion in roughly 12-18 months = about 25% of one year of 2020 GDP. NEW DEAL (1929, TK 99): roughly 50% of one year of 1939 GDP but spread over six years - about 8% per year on average. TARP (2008, TK 91): about $700B authorized (about $427B disbursed) = roughly 5% of 2008 GDP. So per year, COVID (about 25%) was far larger than the New Deal (about 8%/year) or TARP (about 5%). WHY IT MATTERS: the unprecedented speed and scale are exactly why the NBER recession was only 2 months - the modern Fed and Treasury applied the 1929 and 2008 playbooks at the largest scale ever, but that same scale also fed the 2021-2022 inflation surge. Accept reasonable variations that correctly rank COVID largest per year and tie the scale to both the fast recovery and the inflation that followed.</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Charts and Run the Numbers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the U.S. REAL GDP chart, inserted below and shown in the slide deck. Read the index value off the y-axis at Q4 2019, at Q2 2020 (the trough), and at Q1 2021, then calculate the percentage decline from Q4 2019 to Q2 2020. (Chart: chart_gdp_collapse_recovery)</w:t>
      </w:r>
    </w:p>
    <w:p>
      <w:r>
        <w:drawing>
          <wp:inline xmlns:a="http://schemas.openxmlformats.org/drawingml/2006/main" xmlns:pic="http://schemas.openxmlformats.org/drawingml/2006/picture">
            <wp:extent cx="5303520" cy="3925365"/>
            <wp:docPr id="1" name="mllp:chart_gdp_collapse_recovery|pandemic-economics-activity-an|docx|chart-gdp-collapse-recovery|" title="mllp:chart_gdp_collapse_recovery|pandemic-economics-activity-an|docx|chart-gdp-collapse-recovery|" descr="Line chart showing U.S. real GDP from 2019 through 2026, indexed to Q4 2019 = 100. The index sits near 100 in 2019, drops slightly to 98.7 in Q1 2020, then collapses to 89.7 in Q2 2020 - a 9.1 percent quarterly decline (the sharpest in modern records). It rebounds to 96.5 in Q3 2020, climbs back to 100.5 in Q1 2021 (regaining pre-pandemic level), and continues rising through 2021-2026, reaching about 113 by 2026. The shape shows a sharp V followed by sustained above-trend growth."/>
            <wp:cNvGraphicFramePr>
              <a:graphicFrameLocks noChangeAspect="1"/>
            </wp:cNvGraphicFramePr>
            <a:graphic>
              <a:graphicData uri="http://schemas.openxmlformats.org/drawingml/2006/picture">
                <pic:pic>
                  <pic:nvPicPr>
                    <pic:cNvPr id="0" name="chart_gdp_collapse_recovery.png"/>
                    <pic:cNvPicPr/>
                  </pic:nvPicPr>
                  <pic:blipFill>
                    <a:blip r:embed="rId9"/>
                    <a:stretch>
                      <a:fillRect/>
                    </a:stretch>
                  </pic:blipFill>
                  <pic:spPr>
                    <a:xfrm>
                      <a:off x="0" y="0"/>
                      <a:ext cx="5303520" cy="3925365"/>
                    </a:xfrm>
                    <a:prstGeom prst="rect"/>
                  </pic:spPr>
                </pic:pic>
              </a:graphicData>
            </a:graphic>
          </wp:inline>
        </w:drawing>
      </w:r>
    </w:p>
    <w:p>
      <w:pPr>
        <w:keepLines/>
        <w:spacing w:after="160"/>
        <w:ind w:left="360"/>
      </w:pPr>
      <w:r>
        <w:rPr>
          <w:rFonts w:ascii="Arial" w:cs="Arial" w:eastAsia="Arial" w:hAnsi="Arial"/>
          <w:b/>
          <w:bCs/>
          <w:i/>
          <w:iCs/>
          <w:color w:val="145F58"/>
          <w:sz w:val="22"/>
          <w:szCs w:val="22"/>
        </w:rPr>
        <w:t xml:space="preserve">Q4 2019: index = 100.0 (the baseline). Q2 2020 TROUGH: index = about 89.7. Q1 2021 RECOVERY: index = about 100.5. PERCENTAGE DECLINE = (100.0 - 89.7) / 100.0 = 0.103 = about a 10.3% off-baseline drop (about 9.1% quarterly contraction by the standard Bureau of Economic Analysis statement). Accept readings of 89-91 for the Q2 2020 trough and 100-101 for the Q1 2021 recovery point. Both the trough and the full recovery happen within about 5 quarters - the fastest cycle in modern data.</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the same GDP chart.</w:t>
      </w:r>
    </w:p>
    <w:p>
      <w:pPr>
        <w:keepNext/>
        <w:keepLines/>
        <w:spacing w:after="80" w:line="288" w:lineRule="auto"/>
        <w:ind w:left="380"/>
      </w:pPr>
      <w:r>
        <w:rPr>
          <w:rFonts w:ascii="Arial" w:cs="Arial" w:eastAsia="Arial" w:hAnsi="Arial"/>
          <w:b/>
          <w:bCs/>
          <w:color w:val="1B2A4A"/>
          <w:sz w:val="22"/>
          <w:szCs w:val="22"/>
        </w:rPr>
        <w:t xml:space="preserve">About what is the index by 2026, and how does that compare to the pre-pandemic trend? In your CEA retrospective memo, why does this comparison matter for evaluating whether the stimulus was the right size?</w:t>
      </w:r>
    </w:p>
    <w:p>
      <w:pPr>
        <w:keepLines/>
        <w:spacing w:after="160"/>
        <w:ind w:left="360"/>
      </w:pPr>
      <w:r>
        <w:rPr>
          <w:rFonts w:ascii="Arial" w:cs="Arial" w:eastAsia="Arial" w:hAnsi="Arial"/>
          <w:b/>
          <w:bCs/>
          <w:i/>
          <w:iCs/>
          <w:color w:val="145F58"/>
          <w:sz w:val="22"/>
          <w:szCs w:val="22"/>
        </w:rPr>
        <w:t xml:space="preserve">GDP index by 2026 = about 113. Compared to Q4 2019 = 100, U.S. real GDP is about 13% larger by 2026 than just before COVID. Pre-pandemic trend growth was about 2% per year, so a no-COVID counterfactual would project GDP near 113 by 2026 too (about 6 years x 2% = 12-13%). WHY THIS COMPARISON MATTERS: the economy in 2026 is at or slightly above the pre-pandemic trend line, meaning the $5T+ stimulus did NOT cause permanent above-trend growth, but it DID prevent a multi-year shortfall like 2008-2010 (where GDP stayed below trend for years). Accept readings of 112-114 for the 2026 index. The implication for the memo: the stimulus was roughly correctly sized - any smaller and the recovery would have been slower; any larger and inflation would have been even worse.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the REMOTE WORK SHARE chart, inserted below and shown in the slide deck. Read the share off the y-axis at 2019, at 2020, and at 2024, then calculate the percentage-point step change from 2019 to 2024. (Chart: chart_remote_work_share)</w:t>
      </w:r>
    </w:p>
    <w:p>
      <w:r>
        <w:drawing>
          <wp:inline xmlns:a="http://schemas.openxmlformats.org/drawingml/2006/main" xmlns:pic="http://schemas.openxmlformats.org/drawingml/2006/picture">
            <wp:extent cx="5303520" cy="3747397"/>
            <wp:docPr id="2" name="mllp:chart_remote_work_share|pandemic-economics-activity-an|docx|chart-remote-work-share|" title="mllp:chart_remote_work_share|pandemic-economics-activity-an|docx|chart-remote-work-share|" descr="Line chart showing the share of U.S. workers doing some work from home from 2019 to 2026. The share starts at about 5 percent in 2019, spikes to about 60 percent in April 2020 (peak lockdown), declines to about 50 percent in 2020, falls further to 40 percent in 2021, and settles near 30 percent hybrid through 2022 to 2026. The chart shows a permanent step-change from pre-pandemic levels."/>
            <wp:cNvGraphicFramePr>
              <a:graphicFrameLocks noChangeAspect="1"/>
            </wp:cNvGraphicFramePr>
            <a:graphic>
              <a:graphicData uri="http://schemas.openxmlformats.org/drawingml/2006/picture">
                <pic:pic>
                  <pic:nvPicPr>
                    <pic:cNvPr id="0" name="chart_remote_work_share.png"/>
                    <pic:cNvPicPr/>
                  </pic:nvPicPr>
                  <pic:blipFill>
                    <a:blip r:embed="rId10"/>
                    <a:stretch>
                      <a:fillRect/>
                    </a:stretch>
                  </pic:blipFill>
                  <pic:spPr>
                    <a:xfrm>
                      <a:off x="0" y="0"/>
                      <a:ext cx="5303520" cy="3747397"/>
                    </a:xfrm>
                    <a:prstGeom prst="rect"/>
                  </pic:spPr>
                </pic:pic>
              </a:graphicData>
            </a:graphic>
          </wp:inline>
        </w:drawing>
      </w:r>
    </w:p>
    <w:p>
      <w:pPr>
        <w:keepLines/>
        <w:spacing w:after="160"/>
        <w:ind w:left="360"/>
      </w:pPr>
      <w:r>
        <w:rPr>
          <w:rFonts w:ascii="Arial" w:cs="Arial" w:eastAsia="Arial" w:hAnsi="Arial"/>
          <w:b/>
          <w:bCs/>
          <w:i/>
          <w:iCs/>
          <w:color w:val="145F58"/>
          <w:sz w:val="22"/>
          <w:szCs w:val="22"/>
        </w:rPr>
        <w:t xml:space="preserve">2019: about 5%. 2020: about 50% annual share (the quarterly peak was about 60% in April 2020). 2024: about 30% settled hybrid. STEP CHANGE = 30% - 5% = 25 PERCENTAGE POINTS. Accept readings of 4-6% for 2019, 45-55% for the 2020 annual share, and 28-32% for 2024. The 25 percentage-point step change is the largest workforce shift in any modern decade.</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Using the same remote-work chart, calculate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PEAK-TO-SETTLED drop from the 2020 annual share to the 2024 settled share</w:t>
      </w:r>
    </w:p>
    <w:p>
      <w:pPr>
        <w:keepNext/>
        <w:keepLines/>
        <w:spacing w:after="60"/>
        <w:ind w:left="360"/>
      </w:pPr>
      <w:r>
        <w:rPr>
          <w:rFonts w:ascii="Arial" w:cs="Arial" w:eastAsia="Arial" w:hAnsi="Arial"/>
          <w:b/>
          <w:bCs/>
          <w:i/>
          <w:iCs/>
          <w:color w:val="145F58"/>
          <w:sz w:val="22"/>
          <w:szCs w:val="22"/>
        </w:rPr>
        <w:t xml:space="preserve">PEAK-TO-SETTLED = 50% (2020 annual) - 30% (2024 settled) = 20 PERCENTAGE-POINT DROP as workers returned to offices.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compare your 2019-to-2024 step-change result from the previous question (in about 5 years) to the 27 percentage-point rise in women's labor-force participation between 1948 and 2000 (52 years). What does this tell you about the speed of the COVID workforce shift?</w:t>
      </w:r>
    </w:p>
    <w:p>
      <w:pPr>
        <w:keepNext w:val="false"/>
        <w:keepLines/>
        <w:spacing w:after="120"/>
        <w:ind w:left="360"/>
      </w:pPr>
      <w:r>
        <w:rPr>
          <w:rFonts w:ascii="Arial" w:cs="Arial" w:eastAsia="Arial" w:hAnsi="Arial"/>
          <w:b/>
          <w:bCs/>
          <w:i/>
          <w:iCs/>
          <w:color w:val="145F58"/>
          <w:sz w:val="22"/>
          <w:szCs w:val="22"/>
        </w:rPr>
        <w:t xml:space="preserve">The COVID step change = 25 percentage points in about 5 years = about 5 percentage points per year. Women's labor-force participation rose 27 percentage points (about 33% to 60%) over 52 years = about 0.5 percentage points per year. So the COVID remote-work shift was roughly 10x faster than the 20th-century gender shift. WHAT THIS TELLS US: the pandemic compressed a generation of workforce change into about 5 years. The implication for the memo: a structural shift this fast and this large will keep rippling through commercial real estate, urban tax bases, and labor markets - the policy response cannot assume the 2019 workforce will return.</w:t>
      </w:r>
    </w:p>
    <w:p>
      <w:r>
        <w:br w:type="page"/>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Use the GLOBAL SUPPLY CHAIN PRESSURE INDEX (GSCPI) chart, inserted below and shown in the slide deck. Read the value off the y-axis at 2019, at the 2021 peak, and at 2023, then state in 2-3 sentences what the peak tells you about why CPI inflation hit 9.1% in June 2022. (Chart: chart_supply_chain_pressure)</w:t>
      </w:r>
    </w:p>
    <w:p>
      <w:r>
        <w:drawing>
          <wp:inline xmlns:a="http://schemas.openxmlformats.org/drawingml/2006/main" xmlns:pic="http://schemas.openxmlformats.org/drawingml/2006/picture">
            <wp:extent cx="5303520" cy="3482279"/>
            <wp:docPr id="3" name="mllp:chart_supply_chain_pressure|pandemic-economics-activity-an|docx|chart-supply-chain-pressure|" title="mllp:chart_supply_chain_pressure|pandemic-economics-activity-an|docx|chart-supply-chain-pressure|" descr="Line chart showing the NY Fed Global Supply Chain Pressure Index from 2019 to 2026, measured in standard deviations from baseline. The index sits near zero through 2019. It spikes to about plus 1.0 in 2020 (initial COVID disruption), surges to plus 4.3 in late 2021 (the all-time peak), declines through 2022 to about plus 1.5 by year-end, falls further to near zero by 2023, and stays near or slightly below zero through 2024 to 2026. The shape shows the largest supply-chain disruption ever recorded by the index."/>
            <wp:cNvGraphicFramePr>
              <a:graphicFrameLocks noChangeAspect="1"/>
            </wp:cNvGraphicFramePr>
            <a:graphic>
              <a:graphicData uri="http://schemas.openxmlformats.org/drawingml/2006/picture">
                <pic:pic>
                  <pic:nvPicPr>
                    <pic:cNvPr id="0" name="chart_supply_chain_pressure.png"/>
                    <pic:cNvPicPr/>
                  </pic:nvPicPr>
                  <pic:blipFill>
                    <a:blip r:embed="rId11"/>
                    <a:stretch>
                      <a:fillRect/>
                    </a:stretch>
                  </pic:blipFill>
                  <pic:spPr>
                    <a:xfrm>
                      <a:off x="0" y="0"/>
                      <a:ext cx="5303520" cy="3482279"/>
                    </a:xfrm>
                    <a:prstGeom prst="rect"/>
                  </pic:spPr>
                </pic:pic>
              </a:graphicData>
            </a:graphic>
          </wp:inline>
        </w:drawing>
      </w:r>
    </w:p>
    <w:p>
      <w:pPr>
        <w:keepLines/>
        <w:spacing w:after="160"/>
        <w:ind w:left="360"/>
      </w:pPr>
      <w:r>
        <w:rPr>
          <w:rFonts w:ascii="Arial" w:cs="Arial" w:eastAsia="Arial" w:hAnsi="Arial"/>
          <w:b/>
          <w:bCs/>
          <w:i/>
          <w:iCs/>
          <w:color w:val="145F58"/>
          <w:sz w:val="22"/>
          <w:szCs w:val="22"/>
        </w:rPr>
        <w:t xml:space="preserve">2019: about 0.0 (the index is standardized so the historical mean = 0). 2021 PEAK: about +4.3 standard deviations - the all-time high in the series. 2023: about 0.0 (back to baseline). Accept readings of -0.1 to +0.1 for 2019 and 2023 and 4.0-4.5 for the 2021 peak. WHAT THE PEAK TELLS US: the +4.3 peak is more than 4x any prior reading, so pandemic inflation was substantially SUPPLY-driven, not just demand-driven. When supply chains break this severely, prices rise even with normal demand - and demand was elevated by $5T+ in stimulus, so broken supply plus elevated demand produced the 9.1% CPI peak, the highest since 1981. (For comparison, 2008 supply chains stayed within about +/- 1 standard deviation.)</w:t>
      </w:r>
    </w:p>
    <w:p>
      <w:pPr>
        <w:keepNext/>
        <w:keepLines/>
        <w:spacing w:after="60" w:line="288" w:lineRule="auto"/>
      </w:pPr>
      <w:r>
        <w:rPr>
          <w:rFonts w:ascii="Trebuchet MS" w:cs="Trebuchet MS" w:eastAsia="Trebuchet MS" w:hAnsi="Trebuchet MS"/>
          <w:b/>
          <w:bCs/>
          <w:color w:val="145F58"/>
          <w:sz w:val="22"/>
          <w:szCs w:val="22"/>
        </w:rPr>
        <w:t xml:space="preserve">6.  </w:t>
      </w:r>
      <w:r>
        <w:rPr>
          <w:rFonts w:ascii="Arial" w:cs="Arial" w:eastAsia="Arial" w:hAnsi="Arial"/>
          <w:b/>
          <w:bCs/>
          <w:color w:val="1B2A4A"/>
          <w:sz w:val="22"/>
          <w:szCs w:val="22"/>
        </w:rPr>
        <w:t xml:space="preserve">Now run the inflation and rate-hike math.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Compute the PERCENTAGE-POINT INFLATION GAP between the June 2022 CPI peak (9.1%) and the Fed's 2% target.</w:t>
      </w:r>
    </w:p>
    <w:p>
      <w:pPr>
        <w:keepNext/>
        <w:keepLines/>
        <w:spacing w:after="60"/>
        <w:ind w:left="360"/>
      </w:pPr>
      <w:r>
        <w:rPr>
          <w:rFonts w:ascii="Arial" w:cs="Arial" w:eastAsia="Arial" w:hAnsi="Arial"/>
          <w:b/>
          <w:bCs/>
          <w:i/>
          <w:iCs/>
          <w:color w:val="145F58"/>
          <w:sz w:val="22"/>
          <w:szCs w:val="22"/>
        </w:rPr>
        <w:t xml:space="preserve">INFLATION GAP = 9.1% - 2.0% = 7.1 PERCENTAGE POINTS above target at the peak.</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Fed funds rate moved from 0-0.25% to 5.25-5.50% between March 2022 and July 2023 - calculate the percentage-point increase.</w:t>
      </w:r>
    </w:p>
    <w:p>
      <w:pPr>
        <w:keepNext/>
        <w:keepLines/>
        <w:spacing w:after="60"/>
        <w:ind w:left="360"/>
      </w:pPr>
      <w:r>
        <w:rPr>
          <w:rFonts w:ascii="Arial" w:cs="Arial" w:eastAsia="Arial" w:hAnsi="Arial"/>
          <w:b/>
          <w:bCs/>
          <w:i/>
          <w:iCs/>
          <w:color w:val="145F58"/>
          <w:sz w:val="22"/>
          <w:szCs w:val="22"/>
        </w:rPr>
        <w:t xml:space="preserve">RATE INCREASE = 5.375% (midpoint of 5.25-5.50%) - 0.125% (midpoint of 0-0.25%) = 5.25 PERCENTAGE POINTS = 525 basis points in 16 months.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Compare the two numbers in 1-2 sentences and state what they tell you about the Fed's response intensity.</w:t>
      </w:r>
    </w:p>
    <w:p>
      <w:pPr>
        <w:keepNext w:val="false"/>
        <w:keepLines/>
        <w:spacing w:after="120"/>
        <w:ind w:left="360"/>
      </w:pPr>
      <w:r>
        <w:rPr>
          <w:rFonts w:ascii="Arial" w:cs="Arial" w:eastAsia="Arial" w:hAnsi="Arial"/>
          <w:b/>
          <w:bCs/>
          <w:i/>
          <w:iCs/>
          <w:color w:val="145F58"/>
          <w:sz w:val="22"/>
          <w:szCs w:val="22"/>
        </w:rPr>
        <w:t xml:space="preserve">The Fed raised the funds rate by 5.25 percentage points to attack a 7.1 percentage-point inflation overshoot - so rate hikes covered about 74% of the gap.</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Retrospective Memo to the President</w:t>
      </w:r>
    </w:p>
    <w:p>
      <w:pPr>
        <w:keepNext/>
        <w:keepLines/>
        <w:spacing w:after="40"/>
      </w:pPr>
      <w:r>
        <w:rPr>
          <w:rFonts w:ascii="Trebuchet MS" w:cs="Trebuchet MS" w:eastAsia="Trebuchet MS" w:hAnsi="Trebuchet MS"/>
          <w:b/>
          <w:bCs/>
          <w:color w:val="B84D38"/>
          <w:spacing w:val="12"/>
          <w:sz w:val="17"/>
          <w:szCs w:val="17"/>
        </w:rPr>
        <w:t xml:space="preserve">RETROSPECTIVE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RETROSPECTIVE MEMO. The President wants your written recommendation in two weeks. As Dr. Vasquez, write a 12-15 sentence memo (about 250-350 words) recommending EXACTLY TWO pandemic-era programs that should become PERMANENT and EXACTLY TWO that should SUNSET. Options for PERMANENT: expanded Child Tax Credit, CHIPS Act semiconductor subsidies, IRA climate provisions, Fed corporate-bond facility. Options for SUNSET: $1,400 stimulus checks, $600/week unemployment supplement, the fraud-prone PPP structure, the eviction moratorium. Use the memo header below and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PERMANENT + TWO SUNSET - name EXACTLY two programs to keep permanent and EXACTLY two to sunset. Do not hedge.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LESSON NUMBERS - cite at least THREE specific facts or figures from the lesson or charts (for example: the about 9.1% Q2 2020 GDP collapse, the $5T+ total stimulus / about 25% of 2020 GDP, the 9.1% June 2022 CPI peak, the remote-work step change you found in Part 4, the supply-chain (GSCPI) peak you found in Part 4, the 525 basis points in 16 months, or the about 30% child-poverty cut from the expanded CTC).</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CROSS-CYCLE COMPARISON - make an EXPLICIT comparison to BOTH the 1929 New Deal (TK 99) AND the 2008 TARP (TK 91).</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REALISTIC OBJECTION - acknowledge one credible objection an opponent would raise.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TRADE-OFF - state one trade-off you accept by choosing these four programs over the alternatives.</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The President of the United States</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Dr. Elena Vasquez, Senior Economist, Council of Economic Advisers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Which Pandemic-Era Policies to Keep Permanent vs Sunset</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2026-06-11T18:24:12.794Z</dcterms:created>
  <dcterms:modified xsi:type="dcterms:W3CDTF">2026-06-11T18:24:12.794Z</dcterms:modified>
</cp:coreProperties>
</file>

<file path=docProps/custom.xml><?xml version="1.0" encoding="utf-8"?>
<Properties xmlns="http://schemas.openxmlformats.org/officeDocument/2006/custom-properties" xmlns:vt="http://schemas.openxmlformats.org/officeDocument/2006/docPropsVTypes"/>
</file>