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Oligopoly: When a Few Dominate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When only three companies control the market, how do they keep prices high without ever picking up the phone?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high school senior selected for a 4-week summer internship at the Federal Trade Commission (FTC) Bureau of Competition. DR. MARCUS CHEN, a senior antitrust economist at the FTC, has been assigned to mentor you through how the agency evaluates whether the U.S. WIRELESS CARRIER market - dominated by Verizon, AT&amp;T, and T-Mobile, which together serve roughly 96% of U.S. subscribers - is an oligopoly engaging in TACIT COLLUSION that warrants further investigation.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OLIGOPOLY using its four defining features (few sellers, high barriers to entry, interdependent firms, differentiated or homogeneous products) and contrast it with both Perfect Competition (TK 21) and Monopoly (TK 22) using the four-firm concentration ratio</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game theory to oligopoly pricing - read a prisoner's dilemma payoff matrix to find the Nash equilibrium, distinguish COLLUSION from TACIT COLLUSION, and explain why interdependent firms have a structural incentive to coordinate prices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 KINKED DEMAND CURVE - explain why oligopoly prices are sticky (rivals do not match raises but DO match cuts), identify real-world examples (airlines, wireless, soft drinks), and evaluate when antitrust action is appropriate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Oligopoly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Oligopoly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You Read the Three Oligopoly Charts with Dr. Marcus Chen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Four Real-Market Scenarios with Dr. Marcus Chen - Apply the Model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Policy Recommendation Memo to Dr. Chen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Oligopoly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market structure dominated by a SMALL NUMBER of large firms (typically 4-10) where each firm's pricing and output decisions depend on what rivals will do; high barriers to entry; firms are interdependent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Interdependence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defining feature of oligopoly: each firm's profit depends not just on its own choice but on what RIVAL firms choose; firms must constantly guess rival behavior, which is why game theory applies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 of total industry sales held by the FOUR LARGEST firms; CR4 &gt; 40% suggests oligopoly tendencies, CR4 &gt; 60% strongly suggests oligopoly, CR4 &gt; 90% is near-monopoly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Collusion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rival firms COORDINATE prices or output to act like a single monopoly; ILLEGAL when done explicitly under U.S. antitrust law (Sherman Act); the temptation is built into oligopoly's interdependence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firms coordinate prices or output WITHOUT explicit communication - using price signals, public announcements, and price leadership; legally harder to prosecute than overt collusion but produces the same anticompetitive outcome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agreement among rival firms to coordinate prices, output, or market shares - illegal in the U.S. (Sherman Act 1890) but legal in some international forums like OPEC's oil quotas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model showing why oligopoly prices are STICKY: if a firm raises price, rivals do not follow and demand drops sharply; if a firm cuts price, rivals match and the price cut wins few new customers; the result is a kink at the current price and a strong incentive to leave price unchanged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Game theory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branch of economics analyzing strategic decisions where one player's best move depends on what other players choose; the PRISONER'S DILEMMA payoff matrix is the standard tool for analyzing oligopoly pricing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 of tacit collusion where ONE firm (the price leader) publicly announces a price change and rivals follow within days; common in airlines, wireless carriers, and steel; mimics cartel coordination without explicit communication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Nash equilibrium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outcome in a strategic game where NO player can improve their payoff by changing their move unilaterally - given what the other players are doing; in the prisoner's dilemma, mutual defection (compete/compete) is the Nash equilibrium even though both firms prefer mutual cooperation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Oligopoly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cartel</w:t>
      </w:r>
      <w:r>
        <w:rPr>
          <w:rFonts w:ascii="Arial" w:cs="Arial" w:eastAsia="Arial" w:hAnsi="Arial"/>
          <w:color w:val="555555"/>
          <w:sz w:val="21"/>
          <w:szCs w:val="21"/>
        </w:rPr>
        <w:t xml:space="preserve">   ·   </w:t>
      </w:r>
      <w:r>
        <w:rPr>
          <w:rFonts w:ascii="Arial" w:cs="Arial" w:eastAsia="Arial" w:hAnsi="Arial"/>
          <w:color w:val="1B2A4A"/>
          <w:sz w:val="21"/>
          <w:szCs w:val="21"/>
        </w:rPr>
        <w:t xml:space="preserve">game theory</w:t>
      </w:r>
      <w:r>
        <w:rPr>
          <w:rFonts w:ascii="Arial" w:cs="Arial" w:eastAsia="Arial" w:hAnsi="Arial"/>
          <w:color w:val="555555"/>
          <w:sz w:val="21"/>
          <w:szCs w:val="21"/>
        </w:rPr>
        <w:t xml:space="preserve">   ·   </w:t>
      </w:r>
      <w:r>
        <w:rPr>
          <w:rFonts w:ascii="Arial" w:cs="Arial" w:eastAsia="Arial" w:hAnsi="Arial"/>
          <w:color w:val="1B2A4A"/>
          <w:sz w:val="21"/>
          <w:szCs w:val="21"/>
        </w:rPr>
        <w:t xml:space="preserve">tacit collusion</w:t>
      </w:r>
      <w:r>
        <w:rPr>
          <w:rFonts w:ascii="Arial" w:cs="Arial" w:eastAsia="Arial" w:hAnsi="Arial"/>
          <w:color w:val="555555"/>
          <w:sz w:val="21"/>
          <w:szCs w:val="21"/>
        </w:rPr>
        <w:t xml:space="preserve">   ·   </w:t>
      </w:r>
      <w:r>
        <w:rPr>
          <w:rFonts w:ascii="Arial" w:cs="Arial" w:eastAsia="Arial" w:hAnsi="Arial"/>
          <w:color w:val="1B2A4A"/>
          <w:sz w:val="21"/>
          <w:szCs w:val="21"/>
        </w:rPr>
        <w:t xml:space="preserve">kinked demand</w:t>
      </w:r>
      <w:r>
        <w:rPr>
          <w:rFonts w:ascii="Arial" w:cs="Arial" w:eastAsia="Arial" w:hAnsi="Arial"/>
          <w:color w:val="555555"/>
          <w:sz w:val="21"/>
          <w:szCs w:val="21"/>
        </w:rPr>
        <w:t xml:space="preserve">   ·   </w:t>
      </w:r>
      <w:r>
        <w:rPr>
          <w:rFonts w:ascii="Arial" w:cs="Arial" w:eastAsia="Arial" w:hAnsi="Arial"/>
          <w:color w:val="1B2A4A"/>
          <w:sz w:val="21"/>
          <w:szCs w:val="21"/>
        </w:rPr>
        <w:t xml:space="preserve">interdependence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Dr. Chen asks you to name the feature that separates oligopoly from every other market structure. Each oligopoly firm must constantly watch and guess what its rivals will do, because its own profit depends on their choices - this defining feature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carriers raise prices within days of each other but never sign a contract or send an email about it. Coordinating prices WITHOUT explicit communication, using price signals and price leadership,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Dr. Chen sketches a demand line with a sharp bend at the current price: rivals match your price cuts but ignore your price raises, so moving price in either direction hurts. This model that explains sticky oligopoly prices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curve.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analyze whether the carriers should compete or coordinate, Dr. Chen uses a prisoner-dilemma payoff matrix. The branch of economics that studies strategic decisions where one player's best move depends on what other players choose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Unlike tacit coordination, a FORMAL agreement among rival firms to fix prices or output - illegal in the United States but legal for some international groups like OPEC -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Oligopoly Charts with Dr. Marcus Chen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(chart_cr4_industries) - the four-firm concentration ratio bar chart shown below - to map U.S. industries onto the oligopoly spectrum.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For EACH of the six industries on the chart, state the CR4 value.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industries CROSS the 60% oligopoly threshold.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Rank the six industries from MOST concentrated to LEAST concentrated.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a HIGH CR4 makes tacit collusion easier than a low CR4.</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(chart_prisoners_dilemma) - the two-firm pricing payoff matrix shown below - to read the strategic logic of oligopoly.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profit each carrier earns in BOTH COOPERATE.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profit each carrier earns in BOTH COMPETE.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State what happens when ONE CARRIER COMPETES ALONE (give both the winner's profit and the loser's profit).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the NASH EQUILIBRIUM - the outcome where neither firm can improve by changing strategy alone.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why each firm INDIVIDUALLY wants to compete even though both would be BETTER OFF cooperating - and what this implies for tacit collusion in oligopolies.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(chart_kinked_demand) - the kinked demand curve diagram shown below - to quantify why oligopoly prices stay sticky.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KINK COORDINATES (the current price and quantity at the bend in the line).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If the firm RAISES price from $50 to $54, state the new quantity demanded and the change in units (gain or loss).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If the firm CUTS price from $50 to $35, state the new quantity demanded and the change in units (gain or loss).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which side of the kink is ELASTIC (rivals do NOT match) and which side is INELASTIC (rivals MATCH).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(e)  </w:t>
      </w:r>
      <w:r>
        <w:rPr>
          <w:rFonts w:ascii="Arial" w:cs="Arial" w:eastAsia="Arial" w:hAnsi="Arial"/>
          <w:color w:val="1B2A4A"/>
          <w:sz w:val="22"/>
          <w:szCs w:val="22"/>
        </w:rPr>
        <w:t xml:space="preserve">In 1-2 sentences, explain why the asymmetric rival response makes oligopoly prices STICKY at the kink.</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Real-Market Scenarios with Dr. Marcus Chen - Apply the Model</w:t>
      </w:r>
    </w:p>
    <w:tbl>
      <w:tblPr>
        <w:tblW w:type="dxa" w:w="9360"/>
        <w:tblBorders>
          <w:top w:val="single" w:color="E8E8E8" w:sz="2"/>
          <w:left w:val="single" w:color="E8E8E8" w:sz="2"/>
          <w:bottom w:val="single" w:color="E8E8E8" w:sz="2"/>
          <w:right w:val="single" w:color="E8E8E8" w:sz="2"/>
          <w:insideH w:val="single" w:color="E8E8E8" w:sz="1"/>
          <w:insideV w:val="single" w:color="E8E8E8" w:sz="1"/>
        </w:tblBorders>
      </w:tblPr>
      <w:tblGrid>
        <w:gridCol w:w="2433"/>
        <w:gridCol w:w="1385"/>
        <w:gridCol w:w="1385"/>
        <w:gridCol w:w="1385"/>
        <w:gridCol w:w="1385"/>
        <w:gridCol w:w="1387"/>
      </w:tblGrid>
      <w:tr>
        <w:trPr>
          <w:cantSplit/>
        </w:trPr>
        <w:tc>
          <w:tcPr>
            <w:tcW w:type="dxa" w:w="9360"/>
            <w:gridSpan w:val="6"/>
            <w:shd w:fill="1B2A4A" w:val="clear"/>
            <w:tcMar>
              <w:top w:type="dxa" w:w="100"/>
              <w:left w:type="dxa" w:w="120"/>
              <w:bottom w:type="dxa" w:w="100"/>
              <w:right w:type="dxa" w:w="120"/>
            </w:tcMar>
            <w:vAlign w:val="center"/>
          </w:tcPr>
          <w:p>
            <w:pPr>
              <w:spacing w:line="276" w:lineRule="auto"/>
            </w:pPr>
            <w:r>
              <w:rPr>
                <w:rFonts w:ascii="Trebuchet MS" w:cs="Trebuchet MS" w:eastAsia="Trebuchet MS" w:hAnsi="Trebuchet MS"/>
                <w:b/>
                <w:bCs/>
                <w:i w:val="false"/>
                <w:iCs w:val="false"/>
                <w:color w:val="FFFFFF"/>
                <w:sz w:val="22"/>
                <w:szCs w:val="22"/>
              </w:rPr>
              <w:t xml:space="preserve">1.  </w:t>
            </w:r>
            <w:r>
              <w:rPr>
                <w:rFonts w:ascii="Arial" w:cs="Arial" w:eastAsia="Arial" w:hAnsi="Arial"/>
                <w:b/>
                <w:bCs/>
                <w:i w:val="false"/>
                <w:iCs w:val="false"/>
                <w:color w:val="FFFFFF"/>
                <w:sz w:val="22"/>
                <w:szCs w:val="22"/>
              </w:rPr>
              <w:t xml:space="preserve">RATE FOUR REAL OLIGOPOLIES ON THE FOUR FEATURES. For each industry below, rate it 0-10 on each feature, classify it as DIFFERENTIATED or HOMOGENEOUS, and justify your call. Ratings are judgment calls - any well-reasoned answer is valid; use the oligopoly model, not memorization.</w:t>
            </w:r>
          </w:p>
        </w:tc>
      </w:tr>
      <w:tr>
        <w:trPr>
          <w:cantSplit/>
          <w:tblHeader/>
          <w:trHeight w:val="320" w:hRule="atLeast"/>
        </w:trPr>
        <w:tc>
          <w:tcPr>
            <w:tcW w:type="dxa" w:w="2433"/>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Industry</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Few Sellers</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Barriers</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Interdep.</w:t>
            </w:r>
          </w:p>
        </w:tc>
        <w:tc>
          <w:tcPr>
            <w:tcW w:type="dxa" w:w="1385"/>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Different.</w:t>
            </w:r>
          </w:p>
        </w:tc>
        <w:tc>
          <w:tcPr>
            <w:tcW w:type="dxa" w:w="1387"/>
            <w:gridSpan w:val="1"/>
            <w:shd w:fill="145F58" w:val="clear"/>
            <w:tcMar>
              <w:top w:type="dxa" w:w="60"/>
              <w:left w:type="dxa" w:w="80"/>
              <w:bottom w:type="dxa" w:w="60"/>
              <w:right w:type="dxa" w:w="80"/>
            </w:tcMar>
            <w:vAlign w:val="center"/>
          </w:tcPr>
          <w:p>
            <w:pPr>
              <w:spacing w:line="264" w:lineRule="auto"/>
              <w:jc w:val="center"/>
            </w:pPr>
            <w:r>
              <w:rPr>
                <w:rFonts w:ascii="Arial" w:cs="Arial" w:eastAsia="Arial" w:hAnsi="Arial"/>
                <w:b/>
                <w:bCs/>
                <w:i w:val="false"/>
                <w:iCs w:val="false"/>
                <w:color w:val="FFFFFF"/>
                <w:sz w:val="20"/>
                <w:szCs w:val="20"/>
              </w:rPr>
              <w:t xml:space="preserve">Type</w:t>
            </w:r>
          </w:p>
        </w:tc>
      </w:tr>
      <w:tr>
        <w:trPr>
          <w:cantSplit/>
          <w:trHeight w:val="48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Wireless Carriers</w:t>
            </w: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7"/>
            <w:gridSpan w:val="1"/>
            <w:tcMar>
              <w:top w:type="dxa" w:w="60"/>
              <w:left w:type="dxa" w:w="80"/>
              <w:bottom w:type="dxa" w:w="60"/>
              <w:right w:type="dxa" w:w="80"/>
            </w:tcMar>
            <w:vAlign w:val="top"/>
          </w:tcPr>
          <w:p>
            <w:pPr>
              <w:spacing w:line="264" w:lineRule="auto"/>
              <w:jc w:val="center"/>
            </w:pPr>
          </w:p>
        </w:tc>
      </w:tr>
      <w:tr>
        <w:trPr>
          <w:cantSplit/>
          <w:trHeight w:val="56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p>
        </w:tc>
      </w:tr>
      <w:tr>
        <w:trPr>
          <w:cantSplit/>
          <w:trHeight w:val="48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Commercial Airlines</w:t>
            </w: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7"/>
            <w:gridSpan w:val="1"/>
            <w:tcMar>
              <w:top w:type="dxa" w:w="60"/>
              <w:left w:type="dxa" w:w="80"/>
              <w:bottom w:type="dxa" w:w="60"/>
              <w:right w:type="dxa" w:w="80"/>
            </w:tcMar>
            <w:vAlign w:val="top"/>
          </w:tcPr>
          <w:p>
            <w:pPr>
              <w:spacing w:line="264" w:lineRule="auto"/>
              <w:jc w:val="center"/>
            </w:pPr>
          </w:p>
        </w:tc>
      </w:tr>
      <w:tr>
        <w:trPr>
          <w:cantSplit/>
          <w:trHeight w:val="56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p>
        </w:tc>
      </w:tr>
      <w:tr>
        <w:trPr>
          <w:cantSplit/>
          <w:trHeight w:val="48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Soft Drink Market</w:t>
            </w: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7"/>
            <w:gridSpan w:val="1"/>
            <w:tcMar>
              <w:top w:type="dxa" w:w="60"/>
              <w:left w:type="dxa" w:w="80"/>
              <w:bottom w:type="dxa" w:w="60"/>
              <w:right w:type="dxa" w:w="80"/>
            </w:tcMar>
            <w:vAlign w:val="top"/>
          </w:tcPr>
          <w:p>
            <w:pPr>
              <w:spacing w:line="264" w:lineRule="auto"/>
              <w:jc w:val="center"/>
            </w:pPr>
          </w:p>
        </w:tc>
      </w:tr>
      <w:tr>
        <w:trPr>
          <w:cantSplit/>
          <w:trHeight w:val="56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p>
        </w:tc>
      </w:tr>
      <w:tr>
        <w:trPr>
          <w:cantSplit/>
          <w:trHeight w:val="480" w:hRule="atLeast"/>
        </w:trPr>
        <w:tc>
          <w:tcPr>
            <w:tcW w:type="dxa" w:w="2433"/>
            <w:gridSpan w:val="1"/>
            <w:shd w:fill="F8F8F8" w:val="clear"/>
            <w:tcMar>
              <w:top w:type="dxa" w:w="60"/>
              <w:left w:type="dxa" w:w="80"/>
              <w:bottom w:type="dxa" w:w="60"/>
              <w:right w:type="dxa" w:w="80"/>
            </w:tcMar>
            <w:vAlign w:val="top"/>
          </w:tcPr>
          <w:p>
            <w:pPr>
              <w:spacing w:line="264" w:lineRule="auto"/>
              <w:jc w:val="left"/>
            </w:pPr>
            <w:r>
              <w:rPr>
                <w:rFonts w:ascii="Arial" w:cs="Arial" w:eastAsia="Arial" w:hAnsi="Arial"/>
                <w:b/>
                <w:bCs/>
                <w:i w:val="false"/>
                <w:iCs w:val="false"/>
                <w:color w:val="1B2A4A"/>
                <w:sz w:val="20"/>
                <w:szCs w:val="20"/>
              </w:rPr>
              <w:t xml:space="preserve">U.S. Athletic Footwear</w:t>
            </w: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5"/>
            <w:gridSpan w:val="1"/>
            <w:tcMar>
              <w:top w:type="dxa" w:w="60"/>
              <w:left w:type="dxa" w:w="80"/>
              <w:bottom w:type="dxa" w:w="60"/>
              <w:right w:type="dxa" w:w="80"/>
            </w:tcMar>
            <w:vAlign w:val="top"/>
          </w:tcPr>
          <w:p>
            <w:pPr>
              <w:spacing w:line="264" w:lineRule="auto"/>
              <w:jc w:val="center"/>
            </w:pPr>
          </w:p>
        </w:tc>
        <w:tc>
          <w:tcPr>
            <w:tcW w:type="dxa" w:w="1387"/>
            <w:gridSpan w:val="1"/>
            <w:tcMar>
              <w:top w:type="dxa" w:w="60"/>
              <w:left w:type="dxa" w:w="80"/>
              <w:bottom w:type="dxa" w:w="60"/>
              <w:right w:type="dxa" w:w="80"/>
            </w:tcMar>
            <w:vAlign w:val="top"/>
          </w:tcPr>
          <w:p>
            <w:pPr>
              <w:spacing w:line="264" w:lineRule="auto"/>
              <w:jc w:val="center"/>
            </w:pPr>
          </w:p>
        </w:tc>
      </w:tr>
      <w:tr>
        <w:trPr>
          <w:cantSplit/>
          <w:trHeight w:val="560" w:hRule="atLeast"/>
        </w:trPr>
        <w:tc>
          <w:tcPr>
            <w:tcW w:type="dxa" w:w="9360"/>
            <w:gridSpan w:val="6"/>
            <w:tcMar>
              <w:top w:type="dxa" w:w="50"/>
              <w:left w:type="dxa" w:w="120"/>
              <w:bottom w:type="dxa" w:w="50"/>
              <w:right w:type="dxa" w:w="120"/>
            </w:tcMar>
            <w:vAlign w:val="top"/>
          </w:tcPr>
          <w:p>
            <w:pPr>
              <w:spacing w:line="276" w:lineRule="auto"/>
            </w:pPr>
            <w:r>
              <w:rPr>
                <w:rFonts w:ascii="Arial" w:cs="Arial" w:eastAsia="Arial" w:hAnsi="Arial"/>
                <w:b/>
                <w:bCs/>
                <w:i w:val="false"/>
                <w:iCs w:val="false"/>
                <w:color w:val="333333"/>
                <w:sz w:val="19"/>
                <w:szCs w:val="19"/>
              </w:rPr>
              <w:t xml:space="preserve">Justification: </w:t>
            </w:r>
          </w:p>
        </w:tc>
      </w:tr>
    </w:tbl>
    <w:p>
      <w:pPr>
        <w:spacing w:after="16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 NEW MERGER WOULD CREATE A TIGHTER OLIGOPOLY. Suppose T-MOBILE proposes acquiring DISH NETWORK (currently the 4th-largest wireless carrier with about 4% market share). Apply the oligopoly model: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would happen to the CR4 of the U.S. wireless market?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oligopoly feature would STRENGTHEN as a result?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Predict what would happen to oligopoly pricing power (consumer prices) - increase, decrease, or stay the same.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recommend whether the DOJ Antitrust Division should APPROVE or BLOCK this merger - and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PRICE LEADERSHIP IN THE WIRELESS MARKET. Dr. Chen shows you a 2024 example: Verizon raised the price of its most popular unlimited plan from $80 to $90/month on March 15. AT&amp;T raised its comparable plan from $80 to $90/month on March 28. T-Mobile raised its comparable plan from $75 to $85/month on April 5.</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PRICE LEADER.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FOLLOWER firms.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 this pattern OVERT COLLUSION, TACIT COLLUSION, or just coincidence? Defend your answer with one specific piece of evidence.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this pattern is DIFFICULT to prosecute under antitrust law even if it produces the same consumer harm as an illegal cartel.</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INVESTIGATE OR DECLINE? Two different FTC responses to suspected oligopoly behavior: (a) OPEN A FORMAL INVESTIGATION (Section 6(b) FTC Act market study; subpoenas; multi-year inquiry); (b) MONITOR but not investigate (passive observation; merger review only as deals come up). For EACH of these four scenarios, recommend which FTC response fits BEST AND give a one-sentence reason: (i) the U.S. wireless carrier market (price-leadership pattern from P4-Q3); (ii) the U.S. coffee shop market (CR4 around 25% - Starbucks dominant but many independents); (iii) the U.S. commercial airline market (CR4 around 80%, fare-test pattern documented); (iv) the U.S. residential broadband market (CR4 around 70%, often a regional duopoly per zip code).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Policy Recommendation Memo to Dr. Chen</w:t>
      </w:r>
    </w:p>
    <w:p>
      <w:pPr>
        <w:keepNext/>
        <w:keepLines/>
        <w:spacing w:after="40"/>
      </w:pPr>
      <w:r>
        <w:rPr>
          <w:rFonts w:ascii="Trebuchet MS" w:cs="Trebuchet MS" w:eastAsia="Trebuchet MS" w:hAnsi="Trebuchet MS"/>
          <w:b/>
          <w:bCs/>
          <w:color w:val="B84D38"/>
          <w:spacing w:val="12"/>
          <w:sz w:val="17"/>
          <w:szCs w:val="17"/>
        </w:rPr>
        <w:t xml:space="preserve">POLICY RECOMMENDATION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Dr. Chen closes out your internship and asks for your formal recommendation, written as a 6-8 sentence memo to her and using the four required terms (oligopoly, interdependence, tacit collusion, and kinked demand curve) at least once each. Based on everything you have learned, should the FTC Bureau of Competition OPEN A FORMAL INVESTIGATION of the U.S. wireless carrier market, MONITOR but not investigate, or DECLINE to investigate?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RECOMMENDATION (OPEN INVESTIGATION / MONITOR / DECLINE) AND ties it to the OLIGOPOLY model.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INTERDEPENDENCE correctly - acknowledges that wireless carriers must watch each other and their pricing decisions are not independent.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phrase TACIT COLLUSION correctly - references the price-leadership pattern (Verizon leads, AT&amp;T and T-Mobile follow within weeks) as evidence consistent with tacit collusion even without an explicit agreement.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KINKED DEMAND CURVE correctly - references that oligopoly prices are sticky and explains why this benefits firms at consumer expense.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(e.g., CR4 = 96% for wireless, $20B Both-Cooperate vs $10B Both-Compete Nash equilibrium, kink at Q=100/P=$50, 40-unit loss from $50 to $54 raise, 10-unit gain from $50 to $35 cut)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NEXT STEP the FTC should take in the next 6 months (e.g., open a Section 6(b) market study; subpoena pricing communications from the three carriers; convene a public workshop on wireless market structure; coordinate with the DOJ on a joint review).</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Dr. Marcus Chen, Senior Antitrust Economist, FTC Bureau of Competition</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U.S. wireless carrier market investigation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U.S. FOUR-FIRM CONCENTRATION RATIO ACROSS INDUSTRIES</w:t>
      </w:r>
    </w:p>
    <w:p>
      <w:pPr>
        <w:spacing w:after="0" w:before="0"/>
      </w:pPr>
      <w:r>
        <w:rPr>
          <w:rFonts w:ascii="Arial" w:cs="Arial" w:eastAsia="Arial" w:hAnsi="Arial"/>
          <w:color w:val="FFFFFF"/>
          <w:sz w:val="2"/>
          <w:szCs w:val="2"/>
        </w:rPr>
        <w:t xml:space="preserve">Use Chart Reference 1 (chart_cr4_industries) - the four-firm concentration ratio bar chart shown below.</w:t>
      </w:r>
    </w:p>
    <w:p>
      <w:r>
        <w:drawing>
          <wp:inline xmlns:a="http://schemas.openxmlformats.org/drawingml/2006/main" xmlns:pic="http://schemas.openxmlformats.org/drawingml/2006/picture">
            <wp:extent cx="5303520" cy="4237801"/>
            <wp:docPr id="1" name="mllp:chart_cr4_industries|oligopoly-when-a-few-dominate-|docx|chart-cr4-industries|" title="mllp:chart_cr4_industries|oligopoly-when-a-few-dominate-|docx|chart-cr4-industries|" descr="Bar chart showing the four-firm concentration ratio (CR4) for six U.S. industries. Wireless carriers have a CR4 of 96% (Verizon, AT&amp;T, T-Mobile, US Cellular - effectively three firms). Commercial airlines have a CR4 of 80% (American, Delta, United, Southwest). Soft drinks have a CR4 of 73% (Coca-Cola, PepsiCo, Keurig Dr Pepper, plus one smaller). Athletic footwear has a CR4 of 64% (Nike, Adidas, Skechers, Puma). Banking (largest commercial banks) has a CR4 of 45% (JPMorgan Chase, Bank of America, Citi, Wells Fargo). Restaurants have a CR4 of 10% (highly fragmented, not an oligopoly). A horizontal dashed reference line at 60% marks the oligopoly threshold economists commonly cite. Five of the six industries sit at or above the threshold; only restaurants are clearly NOT an oligopoly. Among the five oligopolies, wireless carriers and airlines are the highest-concentration cases."/>
            <wp:cNvGraphicFramePr>
              <a:graphicFrameLocks noChangeAspect="1"/>
            </wp:cNvGraphicFramePr>
            <a:graphic>
              <a:graphicData uri="http://schemas.openxmlformats.org/drawingml/2006/picture">
                <pic:pic>
                  <pic:nvPicPr>
                    <pic:cNvPr id="0" name="chart_cr4_industries.png"/>
                    <pic:cNvPicPr/>
                  </pic:nvPicPr>
                  <pic:blipFill>
                    <a:blip r:embed="rId9"/>
                    <a:stretch>
                      <a:fillRect/>
                    </a:stretch>
                  </pic:blipFill>
                  <pic:spPr>
                    <a:xfrm>
                      <a:off x="0" y="0"/>
                      <a:ext cx="5303520" cy="4237801"/>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THE PRISONER'S DILEMMA - TWO-FIRM PRICING PAYOFF MATRIX</w:t>
      </w:r>
    </w:p>
    <w:p>
      <w:pPr>
        <w:spacing w:after="0" w:before="0"/>
      </w:pPr>
      <w:r>
        <w:rPr>
          <w:rFonts w:ascii="Arial" w:cs="Arial" w:eastAsia="Arial" w:hAnsi="Arial"/>
          <w:color w:val="FFFFFF"/>
          <w:sz w:val="2"/>
          <w:szCs w:val="2"/>
        </w:rPr>
        <w:t xml:space="preserve">Use Chart Reference 2 (chart_prisoners_dilemma) - the two-firm pricing payoff matrix shown below.</w:t>
      </w:r>
    </w:p>
    <w:p>
      <w:r>
        <w:drawing>
          <wp:inline xmlns:a="http://schemas.openxmlformats.org/drawingml/2006/main" xmlns:pic="http://schemas.openxmlformats.org/drawingml/2006/picture">
            <wp:extent cx="5303520" cy="3978553"/>
            <wp:docPr id="2" name="mllp:chart_prisoners_dilemma|oligopoly-when-a-few-dominate-|docx|chart-prisoners-dilemma|" title="mllp:chart_prisoners_dilemma|oligopoly-when-a-few-dominate-|docx|chart-prisoners-dilemma|" descr="Grouped bar chart showing the four possible outcomes when two wireless carriers each choose between COMPETE (cut prices) and COOPERATE (hold prices high). When BOTH COOPERATE (both firms hold prices high), each firm earns $20 billion per year. When CARRIER A COMPETES alone (cuts prices while Carrier B holds prices high), Carrier A earns $30 billion (steals market share) while Carrier B earns only $5 billion (loses customers). The mirror case - CARRIER B COMPETES alone - gives Carrier B $30 billion and Carrier A $5 billion. When BOTH COMPETE (both firms cut prices aggressively), each firm earns only $10 billion. The Nash equilibrium is BOTH COMPETE ($10B each) because for each firm, competing is better regardless of what the rival does - but mutual cooperation ($20B each) would be better for both. This structural incentive to compete to a worse outcome is why oligopolies have a strong temptation to tacitly collude."/>
            <wp:cNvGraphicFramePr>
              <a:graphicFrameLocks noChangeAspect="1"/>
            </wp:cNvGraphicFramePr>
            <a:graphic>
              <a:graphicData uri="http://schemas.openxmlformats.org/drawingml/2006/picture">
                <pic:pic>
                  <pic:nvPicPr>
                    <pic:cNvPr id="0" name="chart_prisoners_dilemma.png"/>
                    <pic:cNvPicPr/>
                  </pic:nvPicPr>
                  <pic:blipFill>
                    <a:blip r:embed="rId10"/>
                    <a:stretch>
                      <a:fillRect/>
                    </a:stretch>
                  </pic:blipFill>
                  <pic:spPr>
                    <a:xfrm>
                      <a:off x="0" y="0"/>
                      <a:ext cx="5303520" cy="3978553"/>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THE KINKED DEMAND CURVE - WHY OLIGOPOLY PRICES ARE STICKY</w:t>
      </w:r>
    </w:p>
    <w:p>
      <w:pPr>
        <w:spacing w:after="0" w:before="0"/>
      </w:pPr>
      <w:r>
        <w:rPr>
          <w:rFonts w:ascii="Arial" w:cs="Arial" w:eastAsia="Arial" w:hAnsi="Arial"/>
          <w:color w:val="FFFFFF"/>
          <w:sz w:val="2"/>
          <w:szCs w:val="2"/>
        </w:rPr>
        <w:t xml:space="preserve">Use Chart Reference 3 (chart_kinked_demand) - the kinked demand curve diagram shown below.</w:t>
      </w:r>
    </w:p>
    <w:p>
      <w:r>
        <w:drawing>
          <wp:inline xmlns:a="http://schemas.openxmlformats.org/drawingml/2006/main" xmlns:pic="http://schemas.openxmlformats.org/drawingml/2006/picture">
            <wp:extent cx="5303520" cy="3518803"/>
            <wp:docPr id="3" name="mllp:chart_kinked_demand|oligopoly-when-a-few-dominate-|docx|chart-kinked-demand|" title="mllp:chart_kinked_demand|oligopoly-when-a-few-dominate-|docx|chart-kinked-demand|" descr="Line graph showing the kinked demand curve facing one oligopoly firm. The current market price is $50/unit and the firm currently sells 100 units. ABOVE the kink at (Q=100, P=$50), the demand line is RELATIVELY FLAT (elastic) - prices read $52 at Q=80, $54 at Q=60, $58 at Q=40, $62 at Q=20, $66 at Q=0; meaning if the firm raises price, rivals do NOT match and customers switch away rapidly. BELOW the kink, the demand line drops STEEPLY (inelastic) - prices read $35 at Q=110, $25 at Q=120, $10 at Q=140, $0 at Q=160; meaning if the firm cuts price, rivals MATCH the cut and the firm gains few new customers. The visible bend in the line at Q=100 is the KINK. The implication: profits drop sharply if the firm moves price in either direction, so the firm tends to leave price unchanged - oligopoly prices are sticky."/>
            <wp:cNvGraphicFramePr>
              <a:graphicFrameLocks noChangeAspect="1"/>
            </wp:cNvGraphicFramePr>
            <a:graphic>
              <a:graphicData uri="http://schemas.openxmlformats.org/drawingml/2006/picture">
                <pic:pic>
                  <pic:nvPicPr>
                    <pic:cNvPr id="0" name="chart_kinked_demand.png"/>
                    <pic:cNvPicPr/>
                  </pic:nvPicPr>
                  <pic:blipFill>
                    <a:blip r:embed="rId11"/>
                    <a:stretch>
                      <a:fillRect/>
                    </a:stretch>
                  </pic:blipFill>
                  <pic:spPr>
                    <a:xfrm>
                      <a:off x="0" y="0"/>
                      <a:ext cx="5303520" cy="3518803"/>
                    </a:xfrm>
                    <a:prstGeom prst="rect"/>
                  </pic:spPr>
                </pic:pic>
              </a:graphicData>
            </a:graphic>
          </wp:inline>
        </w:drawing>
      </w:r>
    </w:p>
    <w:p>
      <w:pPr>
        <w:spacing w:after="12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2026-06-11T12:35:19.852Z</dcterms:created>
  <dcterms:modified xsi:type="dcterms:W3CDTF">2026-06-11T12:35:19.852Z</dcterms:modified>
</cp:coreProperties>
</file>

<file path=docProps/custom.xml><?xml version="1.0" encoding="utf-8"?>
<Properties xmlns="http://schemas.openxmlformats.org/officeDocument/2006/custom-properties" xmlns:vt="http://schemas.openxmlformats.org/officeDocument/2006/docPropsVTypes"/>
</file>