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ECONOMICS</w:t>
            </w:r>
          </w:p>
          <w:p>
            <w:pPr>
              <w:pStyle w:val="Heading1"/>
              <w:spacing w:after="40"/>
              <w:jc w:val="center"/>
            </w:pPr>
            <w:r>
              <w:rPr>
                <w:rFonts w:ascii="Trebuchet MS" w:cs="Trebuchet MS" w:eastAsia="Trebuchet MS" w:hAnsi="Trebuchet MS"/>
                <w:b/>
                <w:bCs/>
                <w:color w:val="FFFFFF"/>
                <w:spacing w:val="15"/>
                <w:sz w:val="40"/>
                <w:szCs w:val="40"/>
              </w:rPr>
              <w:t xml:space="preserve">INTEREST RATES: THE FED'S MAIN TOOL</w:t>
            </w:r>
          </w:p>
          <w:p>
            <w:pPr>
              <w:jc w:val="left"/>
            </w:pPr>
            <w:r>
              <w:rPr>
                <w:rFonts w:ascii="Trebuchet MS" w:cs="Trebuchet MS" w:eastAsia="Trebuchet MS" w:hAnsi="Trebuchet MS"/>
                <w:b/>
                <w:bCs/>
                <w:color w:val="1B2A4A"/>
                <w:sz w:val="18"/>
                <w:szCs w:val="18"/>
                <w:shd w:fill="E8735A" w:val="clear"/>
              </w:rPr>
              <w:t xml:space="preserve"> ANSWER KEY </w:t>
            </w:r>
            <w:r>
              <w:t xml:space="preserve">  </w:t>
            </w:r>
            <w:r>
              <w:rPr>
                <w:rFonts w:ascii="Trebuchet MS" w:cs="Trebuchet MS" w:eastAsia="Trebuchet MS" w:hAnsi="Trebuchet MS"/>
                <w:color w:val="FFFFFF"/>
                <w:spacing w:val="10"/>
                <w:sz w:val="20"/>
                <w:szCs w:val="20"/>
              </w:rPr>
              <w:t xml:space="preserve">EXIT TICKET - ANSWER KEY</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1.</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If the Fed cuts the federal funds rate by 50 basis points, what is MOST likely to happen to a typical credit card APR?</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rHeight w:val="300" w:hRule="atLeast"/>
        </w:trPr>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It will rise by about 0.50 points within 1-2 billing cycles</w:t>
            </w:r>
          </w:p>
        </w:tc>
        <w:tc>
          <w:tcPr>
            <w:tcW w:type="dxa" w:w="4680"/>
            <w:tcBorders>
              <w:top w:val="none"/>
              <w:left w:val="single" w:color="2A9D8F" w:sz="6"/>
              <w:bottom w:val="none"/>
              <w:right w:val="none"/>
            </w:tcBorders>
            <w:shd w:fill="E8F5F3"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bCs/>
                <w:i/>
                <w:iCs/>
                <w:color w:val="145F58"/>
                <w:sz w:val="22"/>
                <w:szCs w:val="22"/>
              </w:rPr>
              <w:t xml:space="preserve">It will fall by about 0.50 points within 1-2 billing cycles ✓</w:t>
            </w:r>
          </w:p>
        </w:tc>
      </w:tr>
      <w:tr>
        <w:trPr>
          <w:cantSplit/>
          <w:trHeight w:val="60" w:hRule="exact"/>
        </w:trPr>
        <w:tc>
          <w:tcPr>
            <w:tcW w:type="dxa" w:w="4680"/>
            <w:tcBorders>
              <w:top w:val="none"/>
              <w:left w:val="none"/>
              <w:bottom w:val="none"/>
              <w:right w:val="none"/>
            </w:tcBorders>
          </w:tcPr>
          <w:p>
            <w:pPr>
              <w:spacing w:after="0" w:before="0"/>
            </w:pPr>
          </w:p>
        </w:tc>
        <w:tc>
          <w:tcPr>
            <w:tcW w:type="dxa" w:w="4680"/>
            <w:tcBorders>
              <w:top w:val="none"/>
              <w:left w:val="none"/>
              <w:bottom w:val="none"/>
              <w:right w:val="none"/>
            </w:tcBorders>
          </w:tcPr>
          <w:p>
            <w:pPr>
              <w:spacing w:after="0" w:before="0"/>
            </w:pPr>
          </w:p>
        </w:tc>
      </w:tr>
      <w:tr>
        <w:trPr>
          <w:cantSplit/>
          <w:trHeight w:val="300" w:hRule="atLeast"/>
        </w:trPr>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It will stay exactly the same</w:t>
            </w:r>
          </w:p>
        </w:tc>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It will be replaced by a brand-new APR</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2.</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Why can a 30-year mortgage rate fall BEFORE the Fed actually cuts the federal funds rate?</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rHeight w:val="300" w:hRule="atLeast"/>
        </w:trPr>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Because mortgages are set by Congress</w:t>
            </w:r>
          </w:p>
        </w:tc>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val="false"/>
                <w:bCs w:val="false"/>
                <w:color w:val="1B2A4A"/>
                <w:sz w:val="22"/>
                <w:szCs w:val="22"/>
              </w:rPr>
              <w:t xml:space="preserve">Because the Fed secretly tells banks first</w:t>
            </w:r>
          </w:p>
        </w:tc>
      </w:tr>
      <w:tr>
        <w:trPr>
          <w:cantSplit/>
          <w:trHeight w:val="60" w:hRule="exact"/>
        </w:trPr>
        <w:tc>
          <w:tcPr>
            <w:tcW w:type="dxa" w:w="4680"/>
            <w:tcBorders>
              <w:top w:val="none"/>
              <w:left w:val="none"/>
              <w:bottom w:val="none"/>
              <w:right w:val="none"/>
            </w:tcBorders>
          </w:tcPr>
          <w:p>
            <w:pPr>
              <w:spacing w:after="0" w:before="0"/>
            </w:pPr>
          </w:p>
        </w:tc>
        <w:tc>
          <w:tcPr>
            <w:tcW w:type="dxa" w:w="4680"/>
            <w:tcBorders>
              <w:top w:val="none"/>
              <w:left w:val="none"/>
              <w:bottom w:val="none"/>
              <w:right w:val="none"/>
            </w:tcBorders>
          </w:tcPr>
          <w:p>
            <w:pPr>
              <w:spacing w:after="0" w:before="0"/>
            </w:pPr>
          </w:p>
        </w:tc>
      </w:tr>
      <w:tr>
        <w:trPr>
          <w:cantSplit/>
          <w:trHeight w:val="300" w:hRule="atLeast"/>
        </w:trPr>
        <w:tc>
          <w:tcPr>
            <w:tcW w:type="dxa" w:w="4680"/>
            <w:tcBorders>
              <w:top w:val="none"/>
              <w:left w:val="single" w:color="E8735A" w:sz="6"/>
              <w:bottom w:val="none"/>
              <w:right w:val="none"/>
            </w:tcBorders>
            <w:shd w:fill="E8F5F3"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bCs/>
                <w:i/>
                <w:iCs/>
                <w:color w:val="145F58"/>
                <w:sz w:val="22"/>
                <w:szCs w:val="22"/>
              </w:rPr>
              <w:t xml:space="preserve">Because the 10-year Treasury yield prices in EXPECTED Fed moves ✓</w:t>
            </w:r>
          </w:p>
        </w:tc>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Because mortgages are not affected by the Fed at all</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3.</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What is the Fed's 'dual mandate'?</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rHeight w:val="300" w:hRule="atLeast"/>
        </w:trPr>
        <w:tc>
          <w:tcPr>
            <w:tcW w:type="dxa" w:w="4680"/>
            <w:tcBorders>
              <w:top w:val="none"/>
              <w:left w:val="single" w:color="2A9D8F" w:sz="6"/>
              <w:bottom w:val="none"/>
              <w:right w:val="none"/>
            </w:tcBorders>
            <w:shd w:fill="E8F5F3"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bCs/>
                <w:i/>
                <w:iCs/>
                <w:color w:val="145F58"/>
                <w:sz w:val="22"/>
                <w:szCs w:val="22"/>
              </w:rPr>
              <w:t xml:space="preserve">Maximum employment AND stable prices ✓</w:t>
            </w:r>
          </w:p>
        </w:tc>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val="false"/>
                <w:bCs w:val="false"/>
                <w:color w:val="1B2A4A"/>
                <w:sz w:val="22"/>
                <w:szCs w:val="22"/>
              </w:rPr>
              <w:t xml:space="preserve">Maximum growth AND zero unemployment</w:t>
            </w:r>
          </w:p>
        </w:tc>
      </w:tr>
      <w:tr>
        <w:trPr>
          <w:cantSplit/>
          <w:trHeight w:val="60" w:hRule="exact"/>
        </w:trPr>
        <w:tc>
          <w:tcPr>
            <w:tcW w:type="dxa" w:w="4680"/>
            <w:tcBorders>
              <w:top w:val="none"/>
              <w:left w:val="none"/>
              <w:bottom w:val="none"/>
              <w:right w:val="none"/>
            </w:tcBorders>
          </w:tcPr>
          <w:p>
            <w:pPr>
              <w:spacing w:after="0" w:before="0"/>
            </w:pPr>
          </w:p>
        </w:tc>
        <w:tc>
          <w:tcPr>
            <w:tcW w:type="dxa" w:w="4680"/>
            <w:tcBorders>
              <w:top w:val="none"/>
              <w:left w:val="none"/>
              <w:bottom w:val="none"/>
              <w:right w:val="none"/>
            </w:tcBorders>
          </w:tcPr>
          <w:p>
            <w:pPr>
              <w:spacing w:after="0" w:before="0"/>
            </w:pPr>
          </w:p>
        </w:tc>
      </w:tr>
      <w:tr>
        <w:trPr>
          <w:cantSplit/>
          <w:trHeight w:val="300" w:hRule="atLeast"/>
        </w:trPr>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Low taxes AND low spending</w:t>
            </w:r>
          </w:p>
        </w:tc>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Stable dollar AND strong stock market</w:t>
            </w:r>
          </w:p>
        </w:tc>
      </w:tr>
    </w:tbl>
    <w:p>
      <w:pPr>
        <w:spacing w:after="120"/>
      </w:pPr>
    </w:p>
    <w:p>
      <w:pPr>
        <w:pStyle w:val="Heading2"/>
        <w:keepNext/>
        <w:keepLines/>
        <w:pageBreakBefore/>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QUICK WRITE</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Open Response</w:t>
      </w:r>
    </w:p>
    <w:p>
      <w:pPr>
        <w:spacing w:line="288" w:lineRule="auto"/>
        <w:jc w:val="left"/>
      </w:pPr>
      <w:r>
        <w:rPr>
          <w:rFonts w:ascii="Trebuchet MS" w:cs="Trebuchet MS" w:eastAsia="Trebuchet MS" w:hAnsi="Trebuchet MS"/>
          <w:b/>
          <w:bCs/>
          <w:i w:val="false"/>
          <w:iCs w:val="false"/>
          <w:color w:val="1B2A4A"/>
          <w:sz w:val="22"/>
          <w:szCs w:val="22"/>
        </w:rPr>
        <w:t xml:space="preserve">In 2-3 sentences, evaluate the 2022-2024 Fed rate hikes. Inflation fell from 9.1% to about 3% while unemployment stayed near 4%. Did the Fed get it RIGHT, or did it raise rates too far, too fast? Use ONE specific number from today's lesson to support your answer.</w:t>
      </w:r>
    </w:p>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RUBRIC (4 points): (1) cites at least one specific number from the lesson (525 bps, 9.1% peak CPI, ~3% current CPI, 4% unemployment, 5.50% fed funds peak); (2) names the dual mandate or one of its two goals; (3) makes a clear evaluation (right / too fast / too slow / overshot); (4) acknowledges a risk or trade-off. SAMPLE 4-POINT RESPONSE: "The 2022-2024 Fed rate hikes largely WORKED. The FOMC raised fed funds 525 basis points to a peak of 5.50% and pulled CPI inflation from 9.1% (June 2022) down to about 3% by late 2024, while unemployment stayed near 4% - the textbook definition of a SOFT LANDING. Some critics argue the Fed could have started hiking in late 2021 instead of waiting until March 2022, but the outcome was far better than the 1970s comparable. The risk was always OVERSHOOTING - hiking past the point where inflation returns to 2% and accidentally pushing unemployment up." Deduct 1 point per missing element.</w:t>
            </w:r>
          </w:p>
        </w:tc>
      </w:tr>
    </w:tbl>
    <w:p>
      <w:pPr>
        <w:spacing w:after="60" w:before="120"/>
      </w:pPr>
      <w:r>
        <w:rPr>
          <w:rFonts w:ascii="Trebuchet MS" w:cs="Trebuchet MS" w:eastAsia="Trebuchet MS" w:hAnsi="Trebuchet MS"/>
          <w:b/>
          <w:bCs/>
          <w:color w:val="1B2A4A"/>
          <w:sz w:val="18"/>
          <w:szCs w:val="18"/>
        </w:rPr>
        <w:t xml:space="preserve">ANSWERS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40"/>
        <w:gridCol w:w="8720"/>
      </w:tblGrid>
      <w:tr>
        <w:trPr>
          <w:cantSplit/>
        </w:trPr>
        <w:tc>
          <w:tcPr>
            <w:tcW w:type="dxa" w:w="640"/>
            <w:tcBorders>
              <w:top w:val="none"/>
              <w:left w:val="none"/>
              <w:bottom w:val="none"/>
              <w:right w:val="none"/>
            </w:tcBorders>
          </w:tcPr>
          <w:p>
            <w:r>
              <w:rPr>
                <w:rFonts w:ascii="Arial" w:cs="Arial" w:eastAsia="Arial" w:hAnsi="Arial"/>
                <w:color w:val="1B2A4A"/>
                <w:sz w:val="18"/>
                <w:szCs w:val="18"/>
              </w:rPr>
              <w:t xml:space="preserve">1.</w:t>
            </w:r>
          </w:p>
        </w:tc>
        <w:tc>
          <w:tcPr>
            <w:tcW w:type="dxa" w:w="8720"/>
            <w:tcBorders>
              <w:top w:val="none"/>
              <w:left w:val="none"/>
              <w:bottom w:val="none"/>
              <w:right w:val="none"/>
            </w:tcBorders>
          </w:tcPr>
          <w:p>
            <w:r>
              <w:rPr>
                <w:rFonts w:ascii="Arial" w:cs="Arial" w:eastAsia="Arial" w:hAnsi="Arial"/>
                <w:b/>
                <w:bCs/>
                <w:color w:val="145F58"/>
                <w:sz w:val="18"/>
                <w:szCs w:val="18"/>
              </w:rPr>
              <w:t xml:space="preserve">B</w:t>
            </w:r>
          </w:p>
        </w:tc>
      </w:tr>
      <w:tr>
        <w:trPr>
          <w:cantSplit/>
        </w:trPr>
        <w:tc>
          <w:tcPr>
            <w:tcW w:type="dxa" w:w="640"/>
            <w:tcBorders>
              <w:top w:val="none"/>
              <w:left w:val="none"/>
              <w:bottom w:val="none"/>
              <w:right w:val="none"/>
            </w:tcBorders>
          </w:tcPr>
          <w:p>
            <w:r>
              <w:rPr>
                <w:rFonts w:ascii="Arial" w:cs="Arial" w:eastAsia="Arial" w:hAnsi="Arial"/>
                <w:color w:val="1B2A4A"/>
                <w:sz w:val="18"/>
                <w:szCs w:val="18"/>
              </w:rPr>
              <w:t xml:space="preserve">2.</w:t>
            </w:r>
          </w:p>
        </w:tc>
        <w:tc>
          <w:tcPr>
            <w:tcW w:type="dxa" w:w="8720"/>
            <w:tcBorders>
              <w:top w:val="none"/>
              <w:left w:val="none"/>
              <w:bottom w:val="none"/>
              <w:right w:val="none"/>
            </w:tcBorders>
          </w:tcPr>
          <w:p>
            <w:r>
              <w:rPr>
                <w:rFonts w:ascii="Arial" w:cs="Arial" w:eastAsia="Arial" w:hAnsi="Arial"/>
                <w:b/>
                <w:bCs/>
                <w:color w:val="145F58"/>
                <w:sz w:val="18"/>
                <w:szCs w:val="18"/>
              </w:rPr>
              <w:t xml:space="preserve">C</w:t>
            </w:r>
          </w:p>
        </w:tc>
      </w:tr>
      <w:tr>
        <w:trPr>
          <w:cantSplit/>
        </w:trPr>
        <w:tc>
          <w:tcPr>
            <w:tcW w:type="dxa" w:w="640"/>
            <w:tcBorders>
              <w:top w:val="none"/>
              <w:left w:val="none"/>
              <w:bottom w:val="none"/>
              <w:right w:val="none"/>
            </w:tcBorders>
          </w:tcPr>
          <w:p>
            <w:r>
              <w:rPr>
                <w:rFonts w:ascii="Arial" w:cs="Arial" w:eastAsia="Arial" w:hAnsi="Arial"/>
                <w:color w:val="1B2A4A"/>
                <w:sz w:val="18"/>
                <w:szCs w:val="18"/>
              </w:rPr>
              <w:t xml:space="preserve">3.</w:t>
            </w:r>
          </w:p>
        </w:tc>
        <w:tc>
          <w:tcPr>
            <w:tcW w:type="dxa" w:w="8720"/>
            <w:tcBorders>
              <w:top w:val="none"/>
              <w:left w:val="none"/>
              <w:bottom w:val="none"/>
              <w:right w:val="none"/>
            </w:tcBorders>
          </w:tcPr>
          <w:p>
            <w:r>
              <w:rPr>
                <w:rFonts w:ascii="Arial" w:cs="Arial" w:eastAsia="Arial" w:hAnsi="Arial"/>
                <w:b/>
                <w:bCs/>
                <w:color w:val="145F58"/>
                <w:sz w:val="18"/>
                <w:szCs w:val="18"/>
              </w:rPr>
              <w:t xml:space="preserve">A</w:t>
            </w:r>
          </w:p>
        </w:tc>
      </w:tr>
    </w:tbl>
    <w:p>
      <w:pPr>
        <w:pageBreakBefore/>
        <w:spacing w:after="200" w:before="6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r>
      <w:rPr>
        <w:rFonts w:ascii="Trebuchet MS" w:cs="Trebuchet MS" w:eastAsia="Trebuchet MS" w:hAnsi="Trebuchet MS"/>
        <w:b/>
        <w:bCs/>
        <w:color w:val="B84D38"/>
        <w:sz w:val="18"/>
        <w:szCs w:val="18"/>
      </w:rPr>
      <w:t xml:space="preserve">ANSWER KEY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2026-07-28T23:15:17.220Z</dcterms:created>
  <dcterms:modified xsi:type="dcterms:W3CDTF">2026-07-28T23:15:17.220Z</dcterms:modified>
</cp:coreProperties>
</file>

<file path=docProps/custom.xml><?xml version="1.0" encoding="utf-8"?>
<Properties xmlns="http://schemas.openxmlformats.org/officeDocument/2006/custom-properties" xmlns:vt="http://schemas.openxmlformats.org/officeDocument/2006/docPropsVTypes"/>
</file>