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CARTELS AND COLLUSION - HOW OPEC CONTROLS OIL</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OPEC was founded in 1960 in which city, and is headquartered in which city today?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Founded in Vienna; headquartered in Vienna</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Founded in Baghdad; headquartered in Vienna since 1965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Founded in Riyadh; headquartered in Riyadh</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Founded in Geneva; headquartered in Brussels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are CARTELS like OPEC considered INHERENTLY UNSTABLE?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oil is becoming obsolete due to electric vehicles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the United Nations regularly bans cartels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Because each member has a strong incentive to CHEAT - produce above quota and capture extra revenue at the cartel's expense - and Saudi Arabia is the only swing producer absorbing the cuts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oil prices always rise over time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OPEC episode showed the limits of cartel pricing power - the cartel cut a record 9.7 million barrels per day but oil prices still briefly went NEGATIVE?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1973 oil embargo</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1985-1986 Saudi flood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2014-2016 shale price war</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The April 2020 OPEC+ COVID cut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sentences, explain to a friend who has never heard of OPEC how a CARTEL works and why OPEC has nearly collapsed three times in 65 years. Use at least THREE of these terms correctly: CARTEL, PRODUCTION QUOTA, CARTEL CHEATING, SWING PRODUCER, OPEC+, EXPLICIT COLLUSION, STRATEGIC PETROLEUM RESERVE. Use at least ONE specific number from the lesson (the 1960 founding year, the 12 current members, the 37% global share, the 1973 embargo year, the 9.7 mbd COVID cut, or another).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(4 points). Award 1 point each for: (1) Uses at least THREE of the required terms (CARTEL, PRODUCTION QUOTA, CARTEL CHEATING, SWING PRODUCER, OPEC+, EXPLICIT COLLUSION, STRATEGIC PETROLEUM RESERVE) correctly. (2) Explains WHY cartels are inherently unstable - referencing the cheating incentive or the swing producer role. (3) Cites at least ONE specific number from the lesson - the 1960 founding year, the 12 current members, the 37% global share, the 1973 embargo, the 9.7 mbd COVID cut, the 53% 1973 peak, or another. (4) Connects the explanation to OPEC by name OR to one of the three historical discipline failures (1985 Saudi flood, 2014 shale war, 2020 COVID). Length target: 5-7 complete sentences. Deduct only if response is shorter than 4 sentences OR omits one of the four required content elements above.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2026-09-07T14:37:22.789Z</dcterms:created>
  <dcterms:modified xsi:type="dcterms:W3CDTF">2026-09-07T14:37:22.789Z</dcterms:modified>
</cp:coreProperties>
</file>

<file path=docProps/custom.xml><?xml version="1.0" encoding="utf-8"?>
<Properties xmlns="http://schemas.openxmlformats.org/officeDocument/2006/custom-properties" xmlns:vt="http://schemas.openxmlformats.org/officeDocument/2006/docPropsVTypes"/>
</file>