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BOUND LABOR: HOW SERVITUDE BECAME SLAVERY</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US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trace how a temporary labor contract and a permanent, hereditary system of slavery grew side by side in colonial Virginia, then split apart completely by 1705.</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learn ten terms, from headright and indenture to hereditary, chattel, and manumission, and use them to explain what actually changed.</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read five passages from the actual 1705 Virginia law - An act concerning Servants and Slaves - and weigh what that law's own wording can and cannot tell them about the system it describes.</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lesson names its one interpretive claim as an interpretation: historians argue that planters widened the legal gap after Bacon's Rebellion, and students are held to that distinction.</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Graded work: a 12-question quiz, a short exit ticket with a written response, and the five-part activity packet.</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headright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grant of fifty acres of colonial land to anyone who paid for a worker's ocean passage.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indentured servitude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labor system in which a person works a fixed number of years to repay the cost of passage.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indenture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signed contract that bound a worker to a master for an agreed number of years.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freedom dues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corn, money, and goods a master owed a servant at the end of the contract.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chattel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Property that can be bought, sold, and passed down to heirs, like livestock or tools.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Bacon's Rebellion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1676 uprising in which frontier colonists and servants attacked Virginia's government.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hereditary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Passed from parent to child at birth instead of earned, chosen, or agreed to.</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slave code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body of colonial laws that fixed the status of enslaved people and controlled their lives.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manumission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formal legal act by which an owner released a person from slavery.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resistance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many ways enslaved people opposed bondage, daily and in the open.</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spacing w:line="288" w:lineRule="auto"/>
        <w:jc w:val="left"/>
      </w:pPr>
      <w:r>
        <w:rPr>
          <w:rFonts w:ascii="Arial" w:cs="Arial" w:eastAsia="Arial" w:hAnsi="Arial"/>
          <w:b w:val="false"/>
          <w:bCs w:val="false"/>
          <w:i w:val="false"/>
          <w:iCs w:val="false"/>
          <w:color w:val="555555"/>
          <w:sz w:val="22"/>
          <w:szCs w:val="22"/>
        </w:rPr>
        <w:t xml:space="preserve">Whole lesson, all components including homework: 90-115 minutes, with a two-period option. Class time alone is about 40 minutes on a standard period, about 75 on a block, or about 40 minutes on each of two days.</w:t>
      </w:r>
    </w:p>
    <w:p>
      <w:pPr>
        <w:spacing w:after="120"/>
      </w:pPr>
    </w:p>
    <w:p>
      <w:pPr>
        <w:pStyle w:val="Heading3"/>
        <w:spacing w:line="288" w:lineRule="auto"/>
        <w:jc w:val="left"/>
      </w:pPr>
      <w:r>
        <w:rPr>
          <w:rFonts w:ascii="Arial" w:cs="Arial" w:eastAsia="Arial" w:hAnsi="Arial"/>
          <w:b/>
          <w:bCs/>
          <w:i w:val="false"/>
          <w:iCs w:val="false"/>
          <w:color w:val="1B2A4A"/>
          <w:sz w:val="22"/>
          <w:szCs w:val="22"/>
        </w:rPr>
        <w:t xml:space="preserve">Standard period (45-50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0-35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3-17 with the Guided Notes, ending on Key Takeaways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35-41</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5-6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right after Key Takeaways: about 2 minutes for the three multiple-choice items and 3-4 for the quick write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CLASS</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35-41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class time for this plan - the two rows below fall outside the period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Next class</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10-12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at the start of the next class, or assigned through the Google Form - it does not fit inside this period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Homework</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45-60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Activity (all five parts), due next class. Every section leans on the completed Guided Notes, so post the deck in your LMS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(80-90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0-35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3-17 with the Guided Notes, ending on Key Takeaways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35-60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Reference Guide, Apply the Terms, and the comparison grid (Parts 1-3) in class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60-77</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and exit ticket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CLASS</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72-77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class time for this plan - the row below falls outside the period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Homework</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primary-source section and the closing written responses (Parts 4-5)</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periods (about 50 minutes each)</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0-40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35-40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3-17 with the Guided Notes, then the exit ticket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0-30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Reference Guide, Apply the Terms and the comparison grid (Parts 1-3) in class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30-42</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10-12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12-question quiz</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CLASS</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75-82 min across the two days</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 class time for this plan - the row below falls outside both periods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Homework after Day 2</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primary-source section and the closing written responses (Parts 4-5)</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or share the Guided Notes Student version before class and project the slide deck so students can follow along slide by slide.</w:t>
      </w:r>
    </w:p>
    <w:p>
      <w:pPr>
        <w:spacing w:line="288" w:lineRule="auto"/>
        <w:jc w:val="left"/>
      </w:pPr>
      <w:r>
        <w:rPr>
          <w:rFonts w:ascii="Arial" w:cs="Arial" w:eastAsia="Arial" w:hAnsi="Arial"/>
          <w:b w:val="false"/>
          <w:bCs w:val="false"/>
          <w:i w:val="false"/>
          <w:iCs w:val="false"/>
          <w:color w:val="333333"/>
          <w:sz w:val="22"/>
          <w:szCs w:val="22"/>
        </w:rPr>
        <w:t xml:space="preserve">2. Print the Activity double-sided; it is designed to be handed out and worked with no preparation.</w:t>
      </w:r>
    </w:p>
    <w:p>
      <w:pPr>
        <w:spacing w:line="288" w:lineRule="auto"/>
        <w:jc w:val="left"/>
      </w:pPr>
      <w:r>
        <w:rPr>
          <w:rFonts w:ascii="Arial" w:cs="Arial" w:eastAsia="Arial" w:hAnsi="Arial"/>
          <w:b w:val="false"/>
          <w:bCs w:val="false"/>
          <w:i w:val="false"/>
          <w:iCs w:val="false"/>
          <w:color w:val="333333"/>
          <w:sz w:val="22"/>
          <w:szCs w:val="22"/>
        </w:rPr>
        <w:t xml:space="preserve">3. Read the note on language that follows the Reference Guide before you hand the Activity out. It explains why the packet uses person-first language everywhere except inside the quoted 1705 law, and why that law is quoted in its own words - decide how you want to introduce that to your class.</w:t>
      </w:r>
    </w:p>
    <w:p>
      <w:pPr>
        <w:spacing w:line="288" w:lineRule="auto"/>
        <w:jc w:val="left"/>
      </w:pPr>
      <w:r>
        <w:rPr>
          <w:rFonts w:ascii="Arial" w:cs="Arial" w:eastAsia="Arial" w:hAnsi="Arial"/>
          <w:b w:val="false"/>
          <w:bCs w:val="false"/>
          <w:i w:val="false"/>
          <w:iCs w:val="false"/>
          <w:color w:val="333333"/>
          <w:sz w:val="22"/>
          <w:szCs w:val="22"/>
        </w:rPr>
        <w:t xml:space="preserve">4. One slide carries a picture, slide 16. It is a surviving 1684 servant contract, a pre-printed form with one man's details written in by hand. The handwriting is only partly legible, and nothing in the lesson depends on reading it - open the deck once beforehand so you know where it lands.</w:t>
      </w:r>
    </w:p>
    <w:p>
      <w:pPr>
        <w:spacing w:line="288" w:lineRule="auto"/>
        <w:jc w:val="left"/>
      </w:pPr>
      <w:r>
        <w:rPr>
          <w:rFonts w:ascii="Arial" w:cs="Arial" w:eastAsia="Arial" w:hAnsi="Arial"/>
          <w:b w:val="false"/>
          <w:bCs w:val="false"/>
          <w:i w:val="false"/>
          <w:iCs w:val="false"/>
          <w:color w:val="333333"/>
          <w:sz w:val="22"/>
          <w:szCs w:val="22"/>
        </w:rPr>
        <w:t xml:space="preserve">5. Decide before the period whether the quiz runs on paper or through the Google Form so students know how they will submit.</w:t>
      </w:r>
    </w:p>
    <w:p>
      <w:pPr>
        <w:spacing w:line="288" w:lineRule="auto"/>
        <w:jc w:val="left"/>
      </w:pPr>
      <w:r>
        <w:rPr>
          <w:rFonts w:ascii="Arial" w:cs="Arial" w:eastAsia="Arial" w:hAnsi="Arial"/>
          <w:b w:val="false"/>
          <w:bCs w:val="false"/>
          <w:i w:val="false"/>
          <w:iCs w:val="false"/>
          <w:color w:val="333333"/>
          <w:sz w:val="22"/>
          <w:szCs w:val="22"/>
        </w:rPr>
        <w:t xml:space="preserve">6. Have the Teacher Presentation Notes open on a second screen or printed; every slide carries three to five talking points plus background and discussion questions.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this lesson, why did colonial planters in Virginia need a steady supply of workers who would labor for years?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Tobacco required constant hand labor to plant, weed, and cure the crop.</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this lesson, what was an indenture?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 signed contract that bound a worker to a master for years.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Under Virginia's headright system, who received the fifty acres of land granted for a worker's passage?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Whoever financed the worker's passage across the ocean.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describes a servant's contract under indentured servitude, as this lesson explains it?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It had a fixed end date, usually four to seven years.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could manumission accomplish for an enslaved person in early Virginia?</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It let an owner formally release that person from slavery.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Virginia's 1662 law change about a child's legal status?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It said a child's status followed the mother's status.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Virginia's 1667 law establish about baptism?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That being baptized as a Christian no longer changed enslaved status.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made the alliance formed during Bacon's Rebellion alarming to Virginia's wealthiest planters?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Enslaved and free Black Virginians fought alongside poor white colonists.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does this lesson frame the claim that planters widened the legal gap between poor white colonists and enslaved people after 1676?</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As a widely held historians' interpretation, not a settled fact.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Virginia's 1705 slave code classify enslaved people?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As property that could be bought, sold, and passed to heirs.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lesson's comparison of the two labor systems, what happened to bound status under the 1705 slave code that did not happen under indentured servitude?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It passed from parent to child at birth.</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As this lesson distinguishes the two terms, what does indentured servitude describe, separate from an indenture itself?</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The whole labor system of working years to repay passage.</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is one of the reading strategies this lesson teaches for a law that denies people's humanity?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Watch for the people the law erases, since it still describes real lives.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this lesson say lawmakers wrote colonial slave codes, in part?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Because lawmakers feared organized resistance from enslaved people.</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this lesson's key takeaways, when did enslaved people begin resisting this system?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From its earliest years, not only after 1705.</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Bound Labor: How Servitude Became Slavery - Suggested Point Values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completed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Reference Guide - 5 blanked terms correct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Apply the Terms - 5 fill-ins correct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Sorting the Evidence - comparison grid completed accurately</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Primary Source Spotlight - sourcing, comprehension, and analysis questions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Your Verdict - two written responses use specific lesson evidence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Read the note on language that follows the Reference Guide with the class before they reach the primary source. It explains why the packet says "enslaved people" everywhere except inside the quoted law, and why the law is quoted in its own dehumanizing words rather than cleaned up.</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comparison grid asks students to sort facts they already have from the slides and Guided Notes, not to find new ones. If a class stalls there, point them back to their completed Guided Notes rather than re-teaching the history.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Slide 10 carries the lesson's only interpretive claim - that planters answered Bacon's Rebellion by widening the legal gap. Present it as an argument historians make, and hold students to saying "link" rather than "caused" when they write about it - the same verb learning target 3 uses. One quiz item tests exactly that distinction.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second closing written response is the hardest lift in this packet: students must name a form of resistance from their Guided Notes AND explain why a legal document like the 1705 act would never record it. Model one full answer before releasing students to write.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Have students fill each Guided Notes blank the moment its slide appears rather than waiting until the end - every blank is bound to that slide's own face text, so lagging behind makes them hard to recover. At slide 12, pause before students fill the second column and have them predict whether servitude or slavery passed to children.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comparison table on slide 12 has four rows, but the Guided Notes capture only two of them - Legal status and Passed to children - and the notes do not carry the column labels. Say out loud which column each blank belongs to, and treat Length of service and Access to court as discussion the class does together; the comparison grid in the Activity prints both facts for students anyway.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Read the quiz directions aloud before students start. Several items hinge on one precise legal term - headright, indenture, chattel, hereditary, manumission - rather than a broad theme, so a fast reader can miss the distinction the option is testing.</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Find the Silence</w:t>
      </w:r>
    </w:p>
    <w:p>
      <w:pPr>
        <w:spacing w:line="336" w:lineRule="auto"/>
        <w:jc w:val="left"/>
      </w:pPr>
      <w:r>
        <w:rPr>
          <w:rFonts w:ascii="Arial" w:cs="Arial" w:eastAsia="Arial" w:hAnsi="Arial"/>
          <w:b w:val="false"/>
          <w:bCs w:val="false"/>
          <w:i w:val="false"/>
          <w:iCs w:val="false"/>
          <w:color w:val="333333"/>
          <w:sz w:val="22"/>
          <w:szCs w:val="22"/>
        </w:rPr>
        <w:t xml:space="preserve">Students annotate the printed 1705 passages for every place the law's wording erases a real person, listing for each passage one sentence they would add if an enslaved or indentured person could speak in their own words at that point in the law. Printer-only; no research or devices required.</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Two Systems, One Timeline</w:t>
      </w:r>
    </w:p>
    <w:p>
      <w:pPr>
        <w:spacing w:line="336" w:lineRule="auto"/>
        <w:jc w:val="left"/>
      </w:pPr>
      <w:r>
        <w:rPr>
          <w:rFonts w:ascii="Arial" w:cs="Arial" w:eastAsia="Arial" w:hAnsi="Arial"/>
          <w:b w:val="false"/>
          <w:bCs w:val="false"/>
          <w:i w:val="false"/>
          <w:iCs w:val="false"/>
          <w:color w:val="333333"/>
          <w:sz w:val="22"/>
          <w:szCs w:val="22"/>
        </w:rPr>
        <w:t xml:space="preserve">Students build a labeled timeline from 1619 to 1705 using only facts from their Guided Notes, marking each law or event that widened the gap between indentured servitude and slavery, then write one sentence identifying the point after which that gap could no longer be closed. Printer-only; a blank sheet of paper is all it needs.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1705 law never uses the word race, yet by 1705 almost everyone it classified as enslaved was African. What does that gap between the law's wording and its real effect tell you about how a law can work?</w:t>
      </w:r>
    </w:p>
    <w:p>
      <w:pPr>
        <w:spacing w:after="80"/>
      </w:pPr>
    </w:p>
    <w:p>
      <w:pPr>
        <w:spacing w:line="336" w:lineRule="auto"/>
        <w:jc w:val="left"/>
      </w:pPr>
      <w:r>
        <w:rPr>
          <w:rFonts w:ascii="Arial" w:cs="Arial" w:eastAsia="Arial" w:hAnsi="Arial"/>
          <w:b/>
          <w:bCs/>
          <w:i w:val="false"/>
          <w:iCs w:val="false"/>
          <w:color w:val="333333"/>
          <w:sz w:val="22"/>
          <w:szCs w:val="22"/>
        </w:rPr>
        <w:t xml:space="preserve">2. Historians disagree about how much Bacon's Rebellion actually caused the shift toward enslaved labor. Why might it matter whether a historian says a rebellion "caused" a change or only "came before" it?</w:t>
      </w:r>
    </w:p>
    <w:p>
      <w:pPr>
        <w:spacing w:after="80"/>
      </w:pPr>
    </w:p>
    <w:p>
      <w:pPr>
        <w:spacing w:line="336" w:lineRule="auto"/>
        <w:jc w:val="left"/>
      </w:pPr>
      <w:r>
        <w:rPr>
          <w:rFonts w:ascii="Arial" w:cs="Arial" w:eastAsia="Arial" w:hAnsi="Arial"/>
          <w:b/>
          <w:bCs/>
          <w:i w:val="false"/>
          <w:iCs w:val="false"/>
          <w:color w:val="333333"/>
          <w:sz w:val="22"/>
          <w:szCs w:val="22"/>
        </w:rPr>
        <w:t xml:space="preserve">3. A servant could sue in court over mistreatment; by 1705 an enslaved person could not. Why would giving one group legal standing and denying it to another have been useful to the colony's lawmakers?</w:t>
      </w:r>
    </w:p>
    <w:p>
      <w:pPr>
        <w:spacing w:after="80"/>
      </w:pP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Differentiation and Accommodations</w:t>
      </w:r>
    </w:p>
    <w:p>
      <w:pPr>
        <w:spacing w:line="336" w:lineRule="auto"/>
        <w:jc w:val="left"/>
      </w:pPr>
      <w:r>
        <w:rPr>
          <w:rFonts w:ascii="Arial" w:cs="Arial" w:eastAsia="Arial" w:hAnsi="Arial"/>
          <w:b w:val="false"/>
          <w:bCs w:val="false"/>
          <w:i w:val="false"/>
          <w:iCs w:val="false"/>
          <w:color w:val="333333"/>
          <w:sz w:val="22"/>
          <w:szCs w:val="22"/>
        </w:rPr>
        <w:t xml:space="preserve">The hardest text in this lesson is the printed 1705 statute: long sentences, legal formulas, and the spelling of an 1823 printing that was deliberately left unchanged. The hardest thinking is the closing verdict, which asks students to separate what the law's own words prove from what the lesson claims around it. Scaffold the reading first; the reasoning is reachable once students trust they can decode the passage.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IEP / writing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Read the printed 1705 passages aloud once, in full, before students annotate them - sentence length and archaic spelling, not the ideas, are the main barrier.</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Allow the comparison grid to be completed in short phrases rather than full sentences, as already instructed on the page.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English Language Learners (ELL) supports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Pre-teach headright, indenture, hereditary, chattel, and manumission using the Reference Guide before assigning Apply the Terms, since that section asks students to apply all five.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Point students to the WORD HELP list printed above the 1705 passages before they begin reading, rather than after they get stuck on an archaic phrase like feme coverts or 'till.</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504 / processing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Offer extended time on the primary-source section and the closing written responses, the two most reading- and writing-intensive parts of the packet.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Permit the closing responses as a bulleted list of evidence points rather than full paragraphs, as long as both required halves of each question are present.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Tiered sentence starters and scaffolds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Under indentured servitude, a worker...</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The 1705 law states, in its own words, that...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This matters because it shows that hereditary status meant...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One way people resisted this system was...</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2026-08-24T03:11:16.296Z</dcterms:created>
  <dcterms:modified xsi:type="dcterms:W3CDTF">2026-08-24T03:11:16.296Z</dcterms:modified>
</cp:coreProperties>
</file>

<file path=docProps/custom.xml><?xml version="1.0" encoding="utf-8"?>
<Properties xmlns="http://schemas.openxmlformats.org/officeDocument/2006/custom-properties" xmlns:vt="http://schemas.openxmlformats.org/officeDocument/2006/docPropsVTypes"/>
</file>