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E8735A" w:sz="12"/>
              <w:left w:val="none"/>
              <w:bottom w:val="single" w:color="E8735A" w:sz="8"/>
              <w:right w:val="none"/>
            </w:tcBorders>
            <w:shd w:fill="1B2A4A" w:val="clear"/>
            <w:tcMar>
              <w:top w:type="dxa" w:w="160"/>
              <w:left w:type="dxa" w:w="120"/>
              <w:bottom w:type="dxa" w:w="120"/>
              <w:right w:type="dxa" w:w="120"/>
            </w:tcMar>
          </w:tcPr>
          <w:p>
            <w:pPr>
              <w:spacing w:after="40"/>
              <w:jc w:val="left"/>
            </w:pPr>
            <w:r>
              <w:rPr>
                <w:rFonts w:ascii="Trebuchet MS" w:cs="Trebuchet MS" w:eastAsia="Trebuchet MS" w:hAnsi="Trebuchet MS"/>
                <w:color w:val="FFFFFF"/>
                <w:spacing w:val="30"/>
                <w:sz w:val="18"/>
                <w:szCs w:val="18"/>
              </w:rPr>
              <w:t xml:space="preserve">WORLD HISTORY</w:t>
            </w:r>
          </w:p>
          <w:p>
            <w:pPr>
              <w:pStyle w:val="Heading1"/>
              <w:spacing w:after="40"/>
              <w:jc w:val="center"/>
            </w:pPr>
            <w:r>
              <w:rPr>
                <w:rFonts w:ascii="Trebuchet MS" w:cs="Trebuchet MS" w:eastAsia="Trebuchet MS" w:hAnsi="Trebuchet MS"/>
                <w:b/>
                <w:bCs/>
                <w:color w:val="FFFFFF"/>
                <w:spacing w:val="15"/>
                <w:sz w:val="40"/>
                <w:szCs w:val="40"/>
              </w:rPr>
              <w:t xml:space="preserve">BLITZKRIEG AND THE FALL OF FRANCE</w:t>
            </w:r>
          </w:p>
          <w:p>
            <w:pPr>
              <w:jc w:val="left"/>
            </w:pPr>
            <w:r>
              <w:rPr>
                <w:rFonts w:ascii="Trebuchet MS" w:cs="Trebuchet MS" w:eastAsia="Trebuchet MS" w:hAnsi="Trebuchet MS"/>
                <w:color w:val="FFFFFF"/>
                <w:spacing w:val="10"/>
                <w:sz w:val="20"/>
                <w:szCs w:val="20"/>
              </w:rPr>
              <w:t xml:space="preserve">TEACHER GUIDE - EVERYTHING YOU NEED</w:t>
            </w:r>
          </w:p>
        </w:tc>
      </w:tr>
    </w:tbl>
    <w:p>
      <w:pPr>
        <w:spacing w:after="200"/>
      </w:pPr>
    </w:p>
    <w:p>
      <w:pPr>
        <w:pStyle w:val="Heading2"/>
        <w:keepNext/>
        <w:keepLines/>
        <w:shd w:fill="145F58"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1</w:t>
      </w:r>
    </w:p>
    <w:p>
      <w:pPr>
        <w:pStyle w:val="Heading3"/>
        <w:keepNext/>
        <w:keepLines/>
        <w:pBdr>
          <w:bottom w:val="single" w:color="2A9D8F" w:sz="6" w:space="4"/>
        </w:pBdr>
        <w:spacing w:after="40" w:before="60"/>
      </w:pPr>
      <w:r>
        <w:rPr>
          <w:rFonts w:ascii="Trebuchet MS" w:cs="Trebuchet MS" w:eastAsia="Trebuchet MS" w:hAnsi="Trebuchet MS"/>
          <w:b/>
          <w:bCs/>
          <w:color w:val="1B2A4A"/>
          <w:sz w:val="28"/>
          <w:szCs w:val="28"/>
        </w:rPr>
        <w:t xml:space="preserve">What's Included</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7020"/>
        <w:gridCol w:w="2340"/>
      </w:tblGrid>
      <w:tr>
        <w:trPr>
          <w:cantSplit/>
          <w:tblHeader/>
          <w:trHeight w:val="280" w:hRule="atLeast"/>
        </w:trPr>
        <w:tc>
          <w:tcPr>
            <w:tcW w:type="dxa" w:w="702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Component</w:t>
            </w:r>
          </w:p>
        </w:tc>
        <w:tc>
          <w:tcPr>
            <w:tcW w:type="dxa" w:w="234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Format</w:t>
            </w:r>
          </w:p>
        </w:tc>
      </w:tr>
      <w:tr>
        <w:trPr>
          <w:trHeight w:val="240" w:hRule="atLeast"/>
        </w:trPr>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Guided Notes - Student</w:t>
            </w:r>
          </w:p>
        </w:tc>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Guided Notes - Teacher Key</w:t>
            </w:r>
          </w:p>
        </w:tc>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Activity - Student</w:t>
            </w:r>
          </w:p>
        </w:tc>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Activity - Answer Key</w:t>
            </w:r>
          </w:p>
        </w:tc>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Quiz - Student</w:t>
            </w:r>
          </w:p>
        </w:tc>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Quiz - Answer Key</w:t>
            </w:r>
          </w:p>
        </w:tc>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Exit Ticket - Student</w:t>
            </w:r>
          </w:p>
        </w:tc>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Exit Ticket - Answer Key</w:t>
            </w:r>
          </w:p>
        </w:tc>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Teacher Guide</w:t>
            </w:r>
          </w:p>
        </w:tc>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Teacher Presentation Notes</w:t>
            </w:r>
          </w:p>
        </w:tc>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Slides</w:t>
            </w:r>
          </w:p>
        </w:tc>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Slides</w:t>
            </w:r>
          </w:p>
        </w:tc>
      </w:tr>
    </w:tbl>
    <w:p>
      <w:pPr>
        <w:spacing w:after="200"/>
      </w:pPr>
    </w:p>
    <w:p>
      <w:pPr>
        <w:pStyle w:val="Heading2"/>
        <w:keepNext/>
        <w:keepLines/>
        <w:shd w:fill="E8735A" w:val="clear"/>
        <w:spacing w:after="60" w:before="200" w:line="300" w:lineRule="auto"/>
        <w:ind w:left="120" w:right="120"/>
      </w:pPr>
      <w:r>
        <w:rPr>
          <w:rFonts w:ascii="Trebuchet MS" w:cs="Trebuchet MS" w:eastAsia="Trebuchet MS" w:hAnsi="Trebuchet MS"/>
          <w:b/>
          <w:bCs/>
          <w:color w:val="1B2A4A"/>
          <w:spacing w:val="23"/>
          <w:sz w:val="22"/>
          <w:szCs w:val="22"/>
        </w:rPr>
        <w:t xml:space="preserve">SECTION 2</w:t>
      </w:r>
    </w:p>
    <w:p>
      <w:pPr>
        <w:pStyle w:val="Heading3"/>
        <w:keepNext/>
        <w:keepLines/>
        <w:pBdr>
          <w:bottom w:val="single" w:color="E8735A" w:sz="6" w:space="4"/>
        </w:pBdr>
        <w:spacing w:after="40" w:before="60"/>
      </w:pPr>
      <w:r>
        <w:rPr>
          <w:rFonts w:ascii="Trebuchet MS" w:cs="Trebuchet MS" w:eastAsia="Trebuchet MS" w:hAnsi="Trebuchet MS"/>
          <w:b/>
          <w:bCs/>
          <w:color w:val="1B2A4A"/>
          <w:sz w:val="28"/>
          <w:szCs w:val="28"/>
        </w:rPr>
        <w:t xml:space="preserve">Overview</w:t>
      </w:r>
    </w:p>
    <w:p>
      <w:pPr>
        <w:spacing w:after="120"/>
      </w:pPr>
      <w:r>
        <w:rPr>
          <w:rFonts w:ascii="Arial" w:cs="Arial" w:eastAsia="Arial" w:hAnsi="Arial"/>
          <w:b/>
          <w:bCs/>
          <w:color w:val="1B2A4A"/>
          <w:sz w:val="22"/>
          <w:szCs w:val="22"/>
        </w:rPr>
        <w:t xml:space="preserve">Subject: </w:t>
      </w:r>
      <w:r>
        <w:rPr>
          <w:rFonts w:ascii="Arial" w:cs="Arial" w:eastAsia="Arial" w:hAnsi="Arial"/>
          <w:color w:val="333333"/>
          <w:sz w:val="22"/>
          <w:szCs w:val="22"/>
        </w:rPr>
        <w:t xml:space="preserve">World History</w:t>
      </w:r>
      <w:r>
        <w:rPr>
          <w:rFonts w:ascii="Arial" w:cs="Arial" w:eastAsia="Arial" w:hAnsi="Arial"/>
          <w:color w:val="555555"/>
          <w:sz w:val="22"/>
          <w:szCs w:val="22"/>
        </w:rPr>
        <w:t xml:space="preserve">    |    </w:t>
      </w:r>
      <w:r>
        <w:rPr>
          <w:rFonts w:ascii="Arial" w:cs="Arial" w:eastAsia="Arial" w:hAnsi="Arial"/>
          <w:b/>
          <w:bCs/>
          <w:color w:val="1B2A4A"/>
          <w:sz w:val="22"/>
          <w:szCs w:val="22"/>
        </w:rPr>
        <w:t xml:space="preserve">Grade Level: </w:t>
      </w:r>
      <w:r>
        <w:rPr>
          <w:rFonts w:ascii="Arial" w:cs="Arial" w:eastAsia="Arial" w:hAnsi="Arial"/>
          <w:color w:val="333333"/>
          <w:sz w:val="22"/>
          <w:szCs w:val="22"/>
        </w:rPr>
        <w:t xml:space="preserve">9-12</w:t>
      </w:r>
    </w:p>
    <w:p>
      <w:pPr>
        <w:spacing w:after="60"/>
        <w:ind w:left="360"/>
      </w:pPr>
      <w:r>
        <w:rPr>
          <w:rFonts w:ascii="Arial" w:cs="Arial" w:eastAsia="Arial" w:hAnsi="Arial"/>
          <w:b/>
          <w:bCs/>
          <w:color w:val="1B2A4A"/>
          <w:sz w:val="22"/>
          <w:szCs w:val="22"/>
        </w:rPr>
        <w:t xml:space="preserve">• </w:t>
      </w:r>
      <w:r>
        <w:rPr>
          <w:rFonts w:ascii="Arial" w:cs="Arial" w:eastAsia="Arial" w:hAnsi="Arial"/>
          <w:color w:val="1B2A4A"/>
          <w:sz w:val="22"/>
          <w:szCs w:val="22"/>
        </w:rPr>
        <w:t xml:space="preserve">Students trace the German attack from the Ardennes on May 10 to the armistice on June 22.</w:t>
      </w:r>
    </w:p>
    <w:p>
      <w:pPr>
        <w:spacing w:after="60"/>
        <w:ind w:left="360"/>
      </w:pPr>
      <w:r>
        <w:rPr>
          <w:rFonts w:ascii="Arial" w:cs="Arial" w:eastAsia="Arial" w:hAnsi="Arial"/>
          <w:b/>
          <w:bCs/>
          <w:color w:val="1B2A4A"/>
          <w:sz w:val="22"/>
          <w:szCs w:val="22"/>
        </w:rPr>
        <w:t xml:space="preserve">• </w:t>
      </w:r>
      <w:r>
        <w:rPr>
          <w:rFonts w:ascii="Arial" w:cs="Arial" w:eastAsia="Arial" w:hAnsi="Arial"/>
          <w:color w:val="1B2A4A"/>
          <w:sz w:val="22"/>
          <w:szCs w:val="22"/>
        </w:rPr>
        <w:t xml:space="preserve">They learn ten key terms, from blitzkrieg and combined arms to salient and encirclement.</w:t>
      </w:r>
    </w:p>
    <w:p>
      <w:pPr>
        <w:spacing w:after="60"/>
        <w:ind w:left="360"/>
      </w:pPr>
      <w:r>
        <w:rPr>
          <w:rFonts w:ascii="Arial" w:cs="Arial" w:eastAsia="Arial" w:hAnsi="Arial"/>
          <w:b/>
          <w:bCs/>
          <w:color w:val="1B2A4A"/>
          <w:sz w:val="22"/>
          <w:szCs w:val="22"/>
        </w:rPr>
        <w:t xml:space="preserve">• </w:t>
      </w:r>
      <w:r>
        <w:rPr>
          <w:rFonts w:ascii="Arial" w:cs="Arial" w:eastAsia="Arial" w:hAnsi="Arial"/>
          <w:color w:val="1B2A4A"/>
          <w:sz w:val="22"/>
          <w:szCs w:val="22"/>
        </w:rPr>
        <w:t xml:space="preserve">They read a data table showing France had more tanks and explain why it still lost.</w:t>
      </w:r>
    </w:p>
    <w:p>
      <w:pPr>
        <w:spacing w:after="60"/>
        <w:ind w:left="360"/>
      </w:pPr>
      <w:r>
        <w:rPr>
          <w:rFonts w:ascii="Arial" w:cs="Arial" w:eastAsia="Arial" w:hAnsi="Arial"/>
          <w:b/>
          <w:bCs/>
          <w:color w:val="1B2A4A"/>
          <w:sz w:val="22"/>
          <w:szCs w:val="22"/>
        </w:rPr>
        <w:t xml:space="preserve">• </w:t>
      </w:r>
      <w:r>
        <w:rPr>
          <w:rFonts w:ascii="Arial" w:cs="Arial" w:eastAsia="Arial" w:hAnsi="Arial"/>
          <w:color w:val="1B2A4A"/>
          <w:sz w:val="22"/>
          <w:szCs w:val="22"/>
        </w:rPr>
        <w:t xml:space="preserve">They analyze an American ambassador’s telegram of May 15, 1940 and write an evidence-based explanation.</w:t>
      </w:r>
    </w:p>
    <w:p>
      <w:pPr>
        <w:spacing w:after="60"/>
        <w:ind w:left="360"/>
      </w:pPr>
      <w:r>
        <w:rPr>
          <w:rFonts w:ascii="Arial" w:cs="Arial" w:eastAsia="Arial" w:hAnsi="Arial"/>
          <w:b/>
          <w:bCs/>
          <w:color w:val="1B2A4A"/>
          <w:sz w:val="22"/>
          <w:szCs w:val="22"/>
        </w:rPr>
        <w:t xml:space="preserve">• </w:t>
      </w:r>
      <w:r>
        <w:rPr>
          <w:rFonts w:ascii="Arial" w:cs="Arial" w:eastAsia="Arial" w:hAnsi="Arial"/>
          <w:color w:val="1B2A4A"/>
          <w:sz w:val="22"/>
          <w:szCs w:val="22"/>
        </w:rPr>
        <w:t xml:space="preserve">Graded work: a 12-question quiz, a short exit ticket with a written response, and the activity packet.</w:t>
      </w:r>
    </w:p>
    <w:p>
      <w:pPr>
        <w:spacing w:after="160"/>
      </w:pPr>
    </w:p>
    <w:p>
      <w:pPr>
        <w:pStyle w:val="Heading3"/>
        <w:spacing w:line="288" w:lineRule="auto"/>
        <w:jc w:val="left"/>
      </w:pPr>
      <w:r>
        <w:rPr>
          <w:rFonts w:ascii="Arial" w:cs="Arial" w:eastAsia="Arial" w:hAnsi="Arial"/>
          <w:b/>
          <w:bCs/>
          <w:i w:val="false"/>
          <w:iCs w:val="false"/>
          <w:color w:val="333333"/>
          <w:sz w:val="22"/>
          <w:szCs w:val="22"/>
        </w:rPr>
        <w:t xml:space="preserve">Key Vocabulary</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340"/>
        <w:gridCol w:w="7020"/>
      </w:tblGrid>
      <w:tr>
        <w:trPr>
          <w:cantSplit/>
          <w:tblHeader/>
          <w:trHeight w:val="280" w:hRule="atLeast"/>
        </w:trPr>
        <w:tc>
          <w:tcPr>
            <w:tcW w:type="dxa" w:w="234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Term</w:t>
            </w:r>
          </w:p>
        </w:tc>
        <w:tc>
          <w:tcPr>
            <w:tcW w:type="dxa" w:w="702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Definition</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Blitzkrieg</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 way of attacking built on speed and concentration, using armor, aircraft, and radio together to break through at one point</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Combined arms</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Tanks, aircraft, infantry, and artillery fighting as one team instead of operating separately</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Maginot Line</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belt of French concrete forts along the German border, built after 1918 to stop another invasion</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Ardennes</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hilly, wooded region in Belgium and Luxembourg that French planners judged too rough for large tank forces</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Sedan</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town on the Meuse River in France where German armor crossed on May 13, 1940 and broke the French line</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Panzer division</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 German unit that grouped tanks, motorized infantry, and artillery under one commander</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Close air support</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Aircraft attacking troops and guns on the battlefield in place of slow-moving artillery</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Salient</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 bulge pushed into an enemy line, exposed on both sides but hard to cut off once it keeps moving</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Encirclement</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Surrounding an enemy force by cutting it off from supply and retreat instead of destroying it head-on</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Armistice</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An agreement to stop fighting; France signed one with Germany on June 22, 1940</w:t>
            </w:r>
          </w:p>
        </w:tc>
      </w:tr>
    </w:tbl>
    <w:p>
      <w:pPr>
        <w:spacing w:after="200"/>
      </w:pPr>
    </w:p>
    <w:p>
      <w:pPr>
        <w:pStyle w:val="Heading2"/>
        <w:keepNext/>
        <w:keepLines/>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3</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Suggested Pacing</w:t>
      </w:r>
    </w:p>
    <w:p>
      <w:pPr>
        <w:pStyle w:val="Heading3"/>
        <w:spacing w:line="288" w:lineRule="auto"/>
        <w:jc w:val="left"/>
      </w:pPr>
      <w:r>
        <w:rPr>
          <w:rFonts w:ascii="Arial" w:cs="Arial" w:eastAsia="Arial" w:hAnsi="Arial"/>
          <w:b/>
          <w:bCs/>
          <w:i w:val="false"/>
          <w:iCs w:val="false"/>
          <w:color w:val="1B2A4A"/>
          <w:sz w:val="22"/>
          <w:szCs w:val="22"/>
        </w:rPr>
        <w:t xml:space="preserve">Standard period (45-50 minutes)</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337"/>
        <w:gridCol w:w="1337"/>
        <w:gridCol w:w="6686"/>
      </w:tblGrid>
      <w:tr>
        <w:trPr>
          <w:cantSplit/>
          <w:tblHeader/>
          <w:trHeight w:val="280" w:hRule="atLeast"/>
        </w:trPr>
        <w:tc>
          <w:tcPr>
            <w:tcW w:type="dxa" w:w="1337"/>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Time</w:t>
            </w:r>
          </w:p>
        </w:tc>
        <w:tc>
          <w:tcPr>
            <w:tcW w:type="dxa" w:w="1337"/>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Duration</w:t>
            </w:r>
          </w:p>
        </w:tc>
        <w:tc>
          <w:tcPr>
            <w:tcW w:type="dxa" w:w="668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Activity</w:t>
            </w:r>
          </w:p>
        </w:tc>
      </w:tr>
      <w:tr>
        <w:trPr>
          <w:trHeight w:val="240" w:hRule="atLeast"/>
        </w:trPr>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Minutes 0-2</w:t>
            </w:r>
          </w:p>
        </w:tc>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2 min</w:t>
            </w:r>
          </w:p>
        </w:tc>
        <w:tc>
          <w:tcPr>
            <w:tcW w:type="dxa" w:w="668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Opening question: how long did it take Germany to defeat France in 1940? Collect guesses before revealing six weeks.</w:t>
            </w:r>
          </w:p>
        </w:tc>
      </w:tr>
      <w:tr>
        <w:trPr>
          <w:trHeight w:val="240" w:hRule="atLeast"/>
        </w:trPr>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Minutes 2-16</w:t>
            </w:r>
          </w:p>
        </w:tc>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14 min</w:t>
            </w:r>
          </w:p>
        </w:tc>
        <w:tc>
          <w:tcPr>
            <w:tcW w:type="dxa" w:w="668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Slides 1-11 with Guided Notes</w:t>
            </w:r>
          </w:p>
        </w:tc>
      </w:tr>
      <w:tr>
        <w:trPr>
          <w:trHeight w:val="240" w:hRule="atLeast"/>
        </w:trPr>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Minutes 16-32</w:t>
            </w:r>
          </w:p>
        </w:tc>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16 min</w:t>
            </w:r>
          </w:p>
        </w:tc>
        <w:tc>
          <w:tcPr>
            <w:tcW w:type="dxa" w:w="668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Slides 12-22 with Guided Notes (this half carries the two hardest slides, 18 and 20)</w:t>
            </w:r>
          </w:p>
        </w:tc>
      </w:tr>
      <w:tr>
        <w:trPr>
          <w:trHeight w:val="240" w:hRule="atLeast"/>
        </w:trPr>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Minutes 32-38</w:t>
            </w:r>
          </w:p>
        </w:tc>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6 min</w:t>
            </w:r>
          </w:p>
        </w:tc>
        <w:tc>
          <w:tcPr>
            <w:tcW w:type="dxa" w:w="668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Activity Parts 1 and 2: Reference Guide, then Apply the Terms</w:t>
            </w:r>
          </w:p>
        </w:tc>
      </w:tr>
      <w:tr>
        <w:trPr>
          <w:trHeight w:val="240" w:hRule="atLeast"/>
        </w:trPr>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Minutes 38-46</w:t>
            </w:r>
          </w:p>
        </w:tc>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8 min</w:t>
            </w:r>
          </w:p>
        </w:tc>
        <w:tc>
          <w:tcPr>
            <w:tcW w:type="dxa" w:w="668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IN-CLASS MINIMUM: work the Part 3 data table together, then read the Part 4 excerpt aloud as a class</w:t>
            </w:r>
          </w:p>
        </w:tc>
      </w:tr>
      <w:tr>
        <w:trPr>
          <w:trHeight w:val="240" w:hRule="atLeast"/>
        </w:trPr>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Minutes 46-50</w:t>
            </w:r>
          </w:p>
        </w:tc>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4 min</w:t>
            </w:r>
          </w:p>
        </w:tc>
        <w:tc>
          <w:tcPr>
            <w:tcW w:type="dxa" w:w="668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Exit Ticket; the Part 4 questions and the Part 5 verdict go home, with the excerpt already read aloud in class</w:t>
            </w:r>
          </w:p>
        </w:tc>
      </w:tr>
      <w:tr>
        <w:trPr>
          <w:trHeight w:val="240" w:hRule="atLeast"/>
        </w:trPr>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Next day</w:t>
            </w:r>
          </w:p>
        </w:tc>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10 min</w:t>
            </w:r>
          </w:p>
        </w:tc>
        <w:tc>
          <w:tcPr>
            <w:tcW w:type="dxa" w:w="668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Quiz, on paper or through the Google Form (this plan has no in-period quiz slot)</w:t>
            </w:r>
          </w:p>
        </w:tc>
      </w:tr>
    </w:tbl>
    <w:p>
      <w:pPr>
        <w:spacing w:after="200"/>
      </w:pPr>
    </w:p>
    <w:p>
      <w:pPr>
        <w:pStyle w:val="Heading3"/>
        <w:spacing w:line="288" w:lineRule="auto"/>
        <w:jc w:val="left"/>
      </w:pPr>
      <w:r>
        <w:rPr>
          <w:rFonts w:ascii="Arial" w:cs="Arial" w:eastAsia="Arial" w:hAnsi="Arial"/>
          <w:b/>
          <w:bCs/>
          <w:i w:val="false"/>
          <w:iCs w:val="false"/>
          <w:color w:val="1B2A4A"/>
          <w:sz w:val="22"/>
          <w:szCs w:val="22"/>
        </w:rPr>
        <w:t xml:space="preserve">Block period (90 minutes)</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337"/>
        <w:gridCol w:w="1337"/>
        <w:gridCol w:w="6686"/>
      </w:tblGrid>
      <w:tr>
        <w:trPr>
          <w:cantSplit/>
          <w:tblHeader/>
          <w:trHeight w:val="280" w:hRule="atLeast"/>
        </w:trPr>
        <w:tc>
          <w:tcPr>
            <w:tcW w:type="dxa" w:w="1337"/>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Time</w:t>
            </w:r>
          </w:p>
        </w:tc>
        <w:tc>
          <w:tcPr>
            <w:tcW w:type="dxa" w:w="1337"/>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Duration</w:t>
            </w:r>
          </w:p>
        </w:tc>
        <w:tc>
          <w:tcPr>
            <w:tcW w:type="dxa" w:w="668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Activity</w:t>
            </w:r>
          </w:p>
        </w:tc>
      </w:tr>
      <w:tr>
        <w:trPr>
          <w:trHeight w:val="240" w:hRule="atLeast"/>
        </w:trPr>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Minutes 0-32</w:t>
            </w:r>
          </w:p>
        </w:tc>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32 min</w:t>
            </w:r>
          </w:p>
        </w:tc>
        <w:tc>
          <w:tcPr>
            <w:tcW w:type="dxa" w:w="668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Full slide deck with Guided Notes</w:t>
            </w:r>
          </w:p>
        </w:tc>
      </w:tr>
      <w:tr>
        <w:trPr>
          <w:trHeight w:val="240" w:hRule="atLeast"/>
        </w:trPr>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Minutes 32-52</w:t>
            </w:r>
          </w:p>
        </w:tc>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20 min</w:t>
            </w:r>
          </w:p>
        </w:tc>
        <w:tc>
          <w:tcPr>
            <w:tcW w:type="dxa" w:w="668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Activity Parts 1 to 3, working in pairs</w:t>
            </w:r>
          </w:p>
        </w:tc>
      </w:tr>
      <w:tr>
        <w:trPr>
          <w:trHeight w:val="240" w:hRule="atLeast"/>
        </w:trPr>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Minutes 52-80</w:t>
            </w:r>
          </w:p>
        </w:tc>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28 min</w:t>
            </w:r>
          </w:p>
        </w:tc>
        <w:tc>
          <w:tcPr>
            <w:tcW w:type="dxa" w:w="668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Activity Part 4 primary source and Part 5 written verdict</w:t>
            </w:r>
          </w:p>
        </w:tc>
      </w:tr>
      <w:tr>
        <w:trPr>
          <w:trHeight w:val="240" w:hRule="atLeast"/>
        </w:trPr>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Minutes 80-90</w:t>
            </w:r>
          </w:p>
        </w:tc>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10 min</w:t>
            </w:r>
          </w:p>
        </w:tc>
        <w:tc>
          <w:tcPr>
            <w:tcW w:type="dxa" w:w="668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Quiz or Exit Ticket</w:t>
            </w:r>
          </w:p>
        </w:tc>
      </w:tr>
    </w:tbl>
    <w:p>
      <w:pPr>
        <w:spacing w:after="200"/>
      </w:pPr>
    </w:p>
    <w:p>
      <w:pPr>
        <w:pStyle w:val="Heading3"/>
        <w:spacing w:line="288" w:lineRule="auto"/>
        <w:jc w:val="left"/>
      </w:pPr>
      <w:r>
        <w:rPr>
          <w:rFonts w:ascii="Arial" w:cs="Arial" w:eastAsia="Arial" w:hAnsi="Arial"/>
          <w:b/>
          <w:bCs/>
          <w:i w:val="false"/>
          <w:iCs w:val="false"/>
          <w:color w:val="1B2A4A"/>
          <w:sz w:val="22"/>
          <w:szCs w:val="22"/>
        </w:rPr>
        <w:t xml:space="preserve">Two short periods (2 x 30 minutes)</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337"/>
        <w:gridCol w:w="1337"/>
        <w:gridCol w:w="6686"/>
      </w:tblGrid>
      <w:tr>
        <w:trPr>
          <w:cantSplit/>
          <w:tblHeader/>
          <w:trHeight w:val="280" w:hRule="atLeast"/>
        </w:trPr>
        <w:tc>
          <w:tcPr>
            <w:tcW w:type="dxa" w:w="1337"/>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Time</w:t>
            </w:r>
          </w:p>
        </w:tc>
        <w:tc>
          <w:tcPr>
            <w:tcW w:type="dxa" w:w="1337"/>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Duration</w:t>
            </w:r>
          </w:p>
        </w:tc>
        <w:tc>
          <w:tcPr>
            <w:tcW w:type="dxa" w:w="668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Activity</w:t>
            </w:r>
          </w:p>
        </w:tc>
      </w:tr>
      <w:tr>
        <w:trPr>
          <w:trHeight w:val="240" w:hRule="atLeast"/>
        </w:trPr>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Day 1, minutes 0-24</w:t>
            </w:r>
          </w:p>
        </w:tc>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24 min</w:t>
            </w:r>
          </w:p>
        </w:tc>
        <w:tc>
          <w:tcPr>
            <w:tcW w:type="dxa" w:w="668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Slides 1-13 with Guided Notes</w:t>
            </w:r>
          </w:p>
        </w:tc>
      </w:tr>
      <w:tr>
        <w:trPr>
          <w:trHeight w:val="240" w:hRule="atLeast"/>
        </w:trPr>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Day 1, minutes 24-30</w:t>
            </w:r>
          </w:p>
        </w:tc>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6 min</w:t>
            </w:r>
          </w:p>
        </w:tc>
        <w:tc>
          <w:tcPr>
            <w:tcW w:type="dxa" w:w="668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Activity Parts 1 and 2: Reference Guide, then Apply the Terms</w:t>
            </w:r>
          </w:p>
        </w:tc>
      </w:tr>
      <w:tr>
        <w:trPr>
          <w:trHeight w:val="240" w:hRule="atLeast"/>
        </w:trPr>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Day 2, minutes 0-14</w:t>
            </w:r>
          </w:p>
        </w:tc>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14 min</w:t>
            </w:r>
          </w:p>
        </w:tc>
        <w:tc>
          <w:tcPr>
            <w:tcW w:type="dxa" w:w="668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Slides 14-22 with Guided Notes</w:t>
            </w:r>
          </w:p>
        </w:tc>
      </w:tr>
      <w:tr>
        <w:trPr>
          <w:trHeight w:val="240" w:hRule="atLeast"/>
        </w:trPr>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Day 2, minutes 14-22</w:t>
            </w:r>
          </w:p>
        </w:tc>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8 min</w:t>
            </w:r>
          </w:p>
        </w:tc>
        <w:tc>
          <w:tcPr>
            <w:tcW w:type="dxa" w:w="668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Activity Part 3 data table, then Part 4 read aloud as a class</w:t>
            </w:r>
          </w:p>
        </w:tc>
      </w:tr>
      <w:tr>
        <w:trPr>
          <w:trHeight w:val="240" w:hRule="atLeast"/>
        </w:trPr>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Day 2, minutes 22-30</w:t>
            </w:r>
          </w:p>
        </w:tc>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8 min</w:t>
            </w:r>
          </w:p>
        </w:tc>
        <w:tc>
          <w:tcPr>
            <w:tcW w:type="dxa" w:w="668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Exit Ticket; the Part 4 questions and the Part 5 verdict go home, with the excerpt already read aloud in class</w:t>
            </w:r>
          </w:p>
        </w:tc>
      </w:tr>
      <w:tr>
        <w:trPr>
          <w:trHeight w:val="240" w:hRule="atLeast"/>
        </w:trPr>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Day 3 or asynchronous</w:t>
            </w:r>
          </w:p>
        </w:tc>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10 min</w:t>
            </w:r>
          </w:p>
        </w:tc>
        <w:tc>
          <w:tcPr>
            <w:tcW w:type="dxa" w:w="668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Quiz, on paper or through the Google Form (this plan has no in-period quiz slot)</w:t>
            </w:r>
          </w:p>
        </w:tc>
      </w:tr>
    </w:tbl>
    <w:p>
      <w:pPr>
        <w:spacing w:after="200"/>
      </w:pPr>
    </w:p>
    <w:p>
      <w:pPr>
        <w:pStyle w:val="Heading2"/>
        <w:keepNext/>
        <w:keepLines/>
        <w:shd w:fill="145F58"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4</w:t>
      </w:r>
    </w:p>
    <w:p>
      <w:pPr>
        <w:pStyle w:val="Heading3"/>
        <w:keepNext/>
        <w:keepLines/>
        <w:pBdr>
          <w:bottom w:val="single" w:color="2A9D8F" w:sz="6" w:space="4"/>
        </w:pBdr>
        <w:spacing w:after="40" w:before="60"/>
      </w:pPr>
      <w:r>
        <w:rPr>
          <w:rFonts w:ascii="Trebuchet MS" w:cs="Trebuchet MS" w:eastAsia="Trebuchet MS" w:hAnsi="Trebuchet MS"/>
          <w:b/>
          <w:bCs/>
          <w:color w:val="1B2A4A"/>
          <w:sz w:val="28"/>
          <w:szCs w:val="28"/>
        </w:rPr>
        <w:t xml:space="preserve">Google Classroom Setup</w:t>
      </w:r>
    </w:p>
    <w:p>
      <w:pPr>
        <w:spacing w:line="288" w:lineRule="auto"/>
        <w:jc w:val="left"/>
      </w:pPr>
      <w:r>
        <w:rPr>
          <w:rFonts w:ascii="Arial" w:cs="Arial" w:eastAsia="Arial" w:hAnsi="Arial"/>
          <w:b w:val="false"/>
          <w:bCs w:val="false"/>
          <w:i w:val="false"/>
          <w:iCs w:val="false"/>
          <w:color w:val="333333"/>
          <w:sz w:val="22"/>
          <w:szCs w:val="22"/>
        </w:rPr>
        <w:t xml:space="preserve">1. Print the Guided Notes and the Activity double-sided; both are designed to be handed out and used with no preparation.</w:t>
      </w:r>
    </w:p>
    <w:p>
      <w:pPr>
        <w:spacing w:line="288" w:lineRule="auto"/>
        <w:jc w:val="left"/>
      </w:pPr>
      <w:r>
        <w:rPr>
          <w:rFonts w:ascii="Arial" w:cs="Arial" w:eastAsia="Arial" w:hAnsi="Arial"/>
          <w:b w:val="false"/>
          <w:bCs w:val="false"/>
          <w:i w:val="false"/>
          <w:iCs w:val="false"/>
          <w:color w:val="333333"/>
          <w:sz w:val="22"/>
          <w:szCs w:val="22"/>
        </w:rPr>
        <w:t xml:space="preserve">2. Open the slide deck and check that the three map slides display before class; they carry no text students need to copy.</w:t>
      </w:r>
    </w:p>
    <w:p>
      <w:pPr>
        <w:spacing w:line="288" w:lineRule="auto"/>
        <w:jc w:val="left"/>
      </w:pPr>
      <w:r>
        <w:rPr>
          <w:rFonts w:ascii="Arial" w:cs="Arial" w:eastAsia="Arial" w:hAnsi="Arial"/>
          <w:b w:val="false"/>
          <w:bCs w:val="false"/>
          <w:i w:val="false"/>
          <w:iCs w:val="false"/>
          <w:color w:val="333333"/>
          <w:sz w:val="22"/>
          <w:szCs w:val="22"/>
        </w:rPr>
        <w:t xml:space="preserve">3. Decide before the period whether the quiz runs on paper or through the Google Form so students know how they will submit.</w:t>
      </w:r>
    </w:p>
    <w:p>
      <w:pPr>
        <w:spacing w:line="288" w:lineRule="auto"/>
        <w:jc w:val="left"/>
      </w:pPr>
      <w:r>
        <w:rPr>
          <w:rFonts w:ascii="Arial" w:cs="Arial" w:eastAsia="Arial" w:hAnsi="Arial"/>
          <w:b w:val="false"/>
          <w:bCs w:val="false"/>
          <w:i w:val="false"/>
          <w:iCs w:val="false"/>
          <w:color w:val="333333"/>
          <w:sz w:val="22"/>
          <w:szCs w:val="22"/>
        </w:rPr>
        <w:t xml:space="preserve">4. Have the Teacher Presentation Notes open on a second screen or printed; each slide has three to five talking points.</w:t>
      </w:r>
    </w:p>
    <w:p>
      <w:pPr>
        <w:spacing w:after="200"/>
      </w:pPr>
    </w:p>
    <w:p>
      <w:pPr>
        <w:pStyle w:val="Heading2"/>
        <w:keepNext/>
        <w:keepLines/>
        <w:shd w:fill="145F58"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5</w:t>
      </w:r>
    </w:p>
    <w:p>
      <w:pPr>
        <w:pStyle w:val="Heading3"/>
        <w:keepNext/>
        <w:keepLines/>
        <w:pBdr>
          <w:bottom w:val="single" w:color="2A9D8F" w:sz="6" w:space="4"/>
        </w:pBdr>
        <w:spacing w:after="40" w:before="60"/>
      </w:pPr>
      <w:r>
        <w:rPr>
          <w:rFonts w:ascii="Trebuchet MS" w:cs="Trebuchet MS" w:eastAsia="Trebuchet MS" w:hAnsi="Trebuchet MS"/>
          <w:b/>
          <w:bCs/>
          <w:color w:val="1B2A4A"/>
          <w:sz w:val="28"/>
          <w:szCs w:val="28"/>
        </w:rPr>
        <w:t xml:space="preserve">Quiz Answer Key (12 Questions)</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
        <w:gridCol w:w="5616"/>
        <w:gridCol w:w="2808"/>
      </w:tblGrid>
      <w:tr>
        <w:trPr>
          <w:cantSplit/>
          <w:tblHeader/>
          <w:trHeight w:val="280" w:hRule="atLeast"/>
        </w:trPr>
        <w:tc>
          <w:tcPr>
            <w:tcW w:type="dxa" w:w="93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w:t>
            </w:r>
          </w:p>
        </w:tc>
        <w:tc>
          <w:tcPr>
            <w:tcW w:type="dxa" w:w="561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Question</w:t>
            </w:r>
          </w:p>
        </w:tc>
        <w:tc>
          <w:tcPr>
            <w:tcW w:type="dxa" w:w="2808"/>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Correct Answer</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What does blitzkrieg describe?</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B. A way of attacking built on speed and concentration, using armor, aircraft, and radio together</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2</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Why did Germany send its main attack through the Ardennes?</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 French planners judged the region too rough for large tank forces, so it was lightly held</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3</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What happened to the Maginot Line in May 1940?</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C. It was bypassed rather than broken, and most of its forts held until the armistice</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4</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Where did German armor cross the Meuse and break the French line?</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 Sedan</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What does combined arms mean?</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 Tanks, aircraft, infantry, and artillery fighting as one team rather than separately</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6</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What job did Stuka dive-bombers do at Sedan?</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C. They provided close air support, hitting guns and bunkers in place of slow artillery</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7</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What did German armor do after breaking through at Sedan?</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B. Turned west and drove to the English Channel, cutting the Allied armies in two</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8</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Why could French commanders not respond to the breakthrough in time?</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 Orders travelled slowly by courier and telephone and arrived after the panzers had moved on</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9</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How did French and German tank numbers compare in May 1940?</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C. France had more tanks than Germany committed in the West</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10</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What is a salient?</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 A bulge pushed into an enemy line, exposed on both sides but hard to cut off once it keeps moving</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11</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What was the result of the Dunkirk evacuation?</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 About 338,000 troops reached Britain, but their heavy equipment was left behind</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12</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When did France sign the armistice with Germany?</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B. June 22, 1940, six weeks after the invasion began</w:t>
            </w:r>
          </w:p>
        </w:tc>
      </w:tr>
    </w:tbl>
    <w:p>
      <w:pPr>
        <w:spacing w:after="200"/>
      </w:pPr>
    </w:p>
    <w:p>
      <w:pPr>
        <w:pStyle w:val="Heading2"/>
        <w:keepNext/>
        <w:keepLines/>
        <w:shd w:fill="E8735A" w:val="clear"/>
        <w:spacing w:after="60" w:before="200" w:line="300" w:lineRule="auto"/>
        <w:ind w:left="120" w:right="120"/>
      </w:pPr>
      <w:r>
        <w:rPr>
          <w:rFonts w:ascii="Trebuchet MS" w:cs="Trebuchet MS" w:eastAsia="Trebuchet MS" w:hAnsi="Trebuchet MS"/>
          <w:b/>
          <w:bCs/>
          <w:color w:val="1B2A4A"/>
          <w:spacing w:val="23"/>
          <w:sz w:val="22"/>
          <w:szCs w:val="22"/>
        </w:rPr>
        <w:t xml:space="preserve">SECTION 6</w:t>
      </w:r>
    </w:p>
    <w:p>
      <w:pPr>
        <w:pStyle w:val="Heading3"/>
        <w:keepNext/>
        <w:keepLines/>
        <w:pBdr>
          <w:bottom w:val="single" w:color="E8735A" w:sz="6" w:space="4"/>
        </w:pBdr>
        <w:spacing w:after="40" w:before="60"/>
      </w:pPr>
      <w:r>
        <w:rPr>
          <w:rFonts w:ascii="Trebuchet MS" w:cs="Trebuchet MS" w:eastAsia="Trebuchet MS" w:hAnsi="Trebuchet MS"/>
          <w:b/>
          <w:bCs/>
          <w:color w:val="1B2A4A"/>
          <w:sz w:val="28"/>
          <w:szCs w:val="28"/>
        </w:rPr>
        <w:t xml:space="preserve">Exit Ticket Answer Key</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
        <w:gridCol w:w="5616"/>
        <w:gridCol w:w="2808"/>
      </w:tblGrid>
      <w:tr>
        <w:trPr>
          <w:cantSplit/>
          <w:tblHeader/>
          <w:trHeight w:val="280" w:hRule="atLeast"/>
        </w:trPr>
        <w:tc>
          <w:tcPr>
            <w:tcW w:type="dxa" w:w="93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w:t>
            </w:r>
          </w:p>
        </w:tc>
        <w:tc>
          <w:tcPr>
            <w:tcW w:type="dxa" w:w="561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Question</w:t>
            </w:r>
          </w:p>
        </w:tc>
        <w:tc>
          <w:tcPr>
            <w:tcW w:type="dxa" w:w="2808"/>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Correct Answer</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In May 1940 most French tanks were</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B. spread along the front to support infantry units</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2</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German drive to the English Channel mattered because it</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 cut the Allied armies in the north off from the rest of France</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3</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Which statement best explains why France fell in six weeks?</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C. Germany concentrated its force at one point and moved faster than French orders</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4</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France had more tanks in May 1940 than Germany committed in the West, and France still lost in six weeks. Using at least two specific things from this lesson, explain how Germany won with fewer tanks, and name one thing France did that made the German plan work.</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Any answer that gives two specific German advantages and one French decision that helped them. Germany massed its tanks in panzer divisions and struck one narrow point in the Ardennes, while France spread its tanks along the whole front to support infantry. Germany used Stukas as fast artillery and radio to change orders while the attack was moving, while French orders travelled by courier and arrived too late. The French decision that made the plan work was marching the best Allied armies north into Belgium on May 10, which left the weakest units behind the Ardennes and put the strongest units where they could be cut off.</w:t>
            </w:r>
          </w:p>
        </w:tc>
      </w:tr>
    </w:tbl>
    <w:p>
      <w:pPr>
        <w:spacing w:after="200"/>
      </w:pPr>
    </w:p>
    <w:p>
      <w:pPr>
        <w:pStyle w:val="Heading2"/>
        <w:keepNext/>
        <w:keepLines/>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7</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Scoring Rubric</w:t>
      </w:r>
    </w:p>
    <w:p>
      <w:pPr>
        <w:keepNext/>
        <w:spacing w:after="0"/>
      </w:pPr>
    </w:p>
    <w:p>
      <w:pPr>
        <w:pStyle w:val="Heading3"/>
        <w:spacing w:line="288" w:lineRule="auto"/>
        <w:jc w:val="left"/>
      </w:pPr>
      <w:r>
        <w:rPr>
          <w:rFonts w:ascii="Arial" w:cs="Arial" w:eastAsia="Arial" w:hAnsi="Arial"/>
          <w:b/>
          <w:bCs/>
          <w:i w:val="false"/>
          <w:iCs w:val="false"/>
          <w:color w:val="1B2A4A"/>
          <w:sz w:val="22"/>
          <w:szCs w:val="22"/>
        </w:rPr>
        <w:t xml:space="preserve">Activity Rubric (50 points total)</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7800"/>
        <w:gridCol w:w="1560"/>
      </w:tblGrid>
      <w:tr>
        <w:trPr>
          <w:cantSplit/>
          <w:tblHeader/>
          <w:trHeight w:val="280" w:hRule="atLeast"/>
        </w:trPr>
        <w:tc>
          <w:tcPr>
            <w:tcW w:type="dxa" w:w="780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Criterion</w:t>
            </w:r>
          </w:p>
        </w:tc>
        <w:tc>
          <w:tcPr>
            <w:tcW w:type="dxa" w:w="156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Points</w:t>
            </w:r>
          </w:p>
        </w:tc>
      </w:tr>
      <w:tr>
        <w:trPr>
          <w:trHeight w:val="240" w:hRule="atLeast"/>
        </w:trPr>
        <w:tc>
          <w:tcPr>
            <w:tcW w:type="dxa" w:w="780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Part 1 - Reference Guide terms filled in correctly</w:t>
            </w:r>
          </w:p>
        </w:tc>
        <w:tc>
          <w:tcPr>
            <w:tcW w:type="dxa" w:w="156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w:t>
            </w:r>
          </w:p>
        </w:tc>
      </w:tr>
      <w:tr>
        <w:trPr>
          <w:trHeight w:val="240" w:hRule="atLeast"/>
        </w:trPr>
        <w:tc>
          <w:tcPr>
            <w:tcW w:type="dxa" w:w="780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Part 2 - All 5 fill-ins correct and in context</w:t>
            </w:r>
          </w:p>
        </w:tc>
        <w:tc>
          <w:tcPr>
            <w:tcW w:type="dxa" w:w="156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w:t>
            </w:r>
          </w:p>
        </w:tc>
      </w:tr>
      <w:tr>
        <w:trPr>
          <w:trHeight w:val="240" w:hRule="atLeast"/>
        </w:trPr>
        <w:tc>
          <w:tcPr>
            <w:tcW w:type="dxa" w:w="780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Part 3 - Calculations correct and analysis explains the consequence</w:t>
            </w:r>
          </w:p>
        </w:tc>
        <w:tc>
          <w:tcPr>
            <w:tcW w:type="dxa" w:w="156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10</w:t>
            </w:r>
          </w:p>
        </w:tc>
      </w:tr>
      <w:tr>
        <w:trPr>
          <w:trHeight w:val="240" w:hRule="atLeast"/>
        </w:trPr>
        <w:tc>
          <w:tcPr>
            <w:tcW w:type="dxa" w:w="780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Part 4 - Primary source sourcing, comprehension, and analysis</w:t>
            </w:r>
          </w:p>
        </w:tc>
        <w:tc>
          <w:tcPr>
            <w:tcW w:type="dxa" w:w="156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15</w:t>
            </w:r>
          </w:p>
        </w:tc>
      </w:tr>
      <w:tr>
        <w:trPr>
          <w:trHeight w:val="240" w:hRule="atLeast"/>
        </w:trPr>
        <w:tc>
          <w:tcPr>
            <w:tcW w:type="dxa" w:w="780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Part 5 - Written explanation with a clear claim and two pieces of evidence</w:t>
            </w:r>
          </w:p>
        </w:tc>
        <w:tc>
          <w:tcPr>
            <w:tcW w:type="dxa" w:w="156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15</w:t>
            </w:r>
          </w:p>
        </w:tc>
      </w:tr>
      <w:tr>
        <w:trPr>
          <w:trHeight w:val="240" w:hRule="atLeast"/>
        </w:trPr>
        <w:tc>
          <w:tcPr>
            <w:tcW w:type="dxa" w:w="780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TOTAL</w:t>
            </w:r>
          </w:p>
        </w:tc>
        <w:tc>
          <w:tcPr>
            <w:tcW w:type="dxa" w:w="156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50</w:t>
            </w:r>
          </w:p>
        </w:tc>
      </w:tr>
    </w:tbl>
    <w:p>
      <w:pPr>
        <w:spacing w:after="200"/>
      </w:pPr>
    </w:p>
    <w:p>
      <w:pPr>
        <w:pStyle w:val="Heading2"/>
        <w:keepNext/>
        <w:keepLines/>
        <w:shd w:fill="145F58"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8</w:t>
      </w:r>
    </w:p>
    <w:p>
      <w:pPr>
        <w:pStyle w:val="Heading3"/>
        <w:keepNext/>
        <w:keepLines/>
        <w:pBdr>
          <w:bottom w:val="single" w:color="2A9D8F" w:sz="6" w:space="4"/>
        </w:pBdr>
        <w:spacing w:after="40" w:before="60"/>
      </w:pPr>
      <w:r>
        <w:rPr>
          <w:rFonts w:ascii="Trebuchet MS" w:cs="Trebuchet MS" w:eastAsia="Trebuchet MS" w:hAnsi="Trebuchet MS"/>
          <w:b/>
          <w:bCs/>
          <w:color w:val="1B2A4A"/>
          <w:sz w:val="28"/>
          <w:szCs w:val="28"/>
        </w:rPr>
        <w:t xml:space="preserve">Teaching Tips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Teach the slide 10 numbers before anything else in the second half. Students who believe France had fewer tanks will explain the defeat with "Germany was stronger" and stop thinking. Once they accept France had more, they have to look for a real cause, and every later slide gives them one.</w:t>
            </w:r>
          </w:p>
        </w:tc>
      </w:tr>
    </w:tbl>
    <w:p>
      <w:pPr>
        <w:spacing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The most common wrong answer is that the Maginot Line failed. It did not; the German breakthrough went around the line rather than through it, and most of its forts held until the armistice. Say plainly that the line was bypassed, then point at the gap on the slide 7 map where the fortified band stops and Belgium begins.</w:t>
            </w:r>
          </w:p>
        </w:tc>
      </w:tr>
    </w:tbl>
    <w:p>
      <w:pPr>
        <w:spacing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Slide 18 on the French command is the abstract one. Make it concrete with a relay-race image: it does not matter how fast your runners are if the baton arrives after the race is over. Students who get this slide write far better Part 5 paragraphs than students who only memorize the timeline.</w:t>
            </w:r>
          </w:p>
        </w:tc>
      </w:tr>
    </w:tbl>
    <w:p>
      <w:pPr>
        <w:spacing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Put the slide 13 and slide 15 maps side by side on purpose, even if you have to flip back. Five days separate them, and watching the shaded wedge reach the sea is what makes the Part 4 telegram’s "growing hour by hour" land as a description of something real.</w:t>
            </w:r>
          </w:p>
        </w:tc>
      </w:tr>
    </w:tbl>
    <w:p>
      <w:pPr>
        <w:spacing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Students who stall on Part 5 usually have a conclusion and no evidence. Send them to their Part 3 data table first; one filled-in calculation gives them something concrete, and the Bullitt excerpt then supplies the second piece the checklist asks for.</w:t>
            </w:r>
          </w:p>
        </w:tc>
      </w:tr>
    </w:tbl>
    <w:p>
      <w:pPr>
        <w:spacing w:after="80"/>
      </w:pPr>
    </w:p>
    <w:p>
      <w:pPr>
        <w:spacing w:after="200"/>
      </w:pPr>
    </w:p>
    <w:p>
      <w:pPr>
        <w:pStyle w:val="Heading2"/>
        <w:keepNext/>
        <w:keepLines/>
        <w:shd w:fill="E8735A" w:val="clear"/>
        <w:spacing w:after="60" w:before="200" w:line="300" w:lineRule="auto"/>
        <w:ind w:left="120" w:right="120"/>
      </w:pPr>
      <w:r>
        <w:rPr>
          <w:rFonts w:ascii="Trebuchet MS" w:cs="Trebuchet MS" w:eastAsia="Trebuchet MS" w:hAnsi="Trebuchet MS"/>
          <w:b/>
          <w:bCs/>
          <w:color w:val="1B2A4A"/>
          <w:spacing w:val="23"/>
          <w:sz w:val="22"/>
          <w:szCs w:val="22"/>
        </w:rPr>
        <w:t xml:space="preserve">SECTION 9</w:t>
      </w:r>
    </w:p>
    <w:p>
      <w:pPr>
        <w:pStyle w:val="Heading3"/>
        <w:keepNext/>
        <w:keepLines/>
        <w:pBdr>
          <w:bottom w:val="single" w:color="E8735A" w:sz="6" w:space="4"/>
        </w:pBdr>
        <w:spacing w:after="40" w:before="60"/>
      </w:pPr>
      <w:r>
        <w:rPr>
          <w:rFonts w:ascii="Trebuchet MS" w:cs="Trebuchet MS" w:eastAsia="Trebuchet MS" w:hAnsi="Trebuchet MS"/>
          <w:b/>
          <w:bCs/>
          <w:color w:val="1B2A4A"/>
          <w:sz w:val="28"/>
          <w:szCs w:val="28"/>
        </w:rPr>
        <w:t xml:space="preserve">Extension Activities</w:t>
      </w:r>
    </w:p>
    <w:p>
      <w:pPr>
        <w:pStyle w:val="Heading3"/>
        <w:spacing w:line="288" w:lineRule="auto"/>
        <w:jc w:val="left"/>
      </w:pPr>
      <w:r>
        <w:rPr>
          <w:rFonts w:ascii="Arial" w:cs="Arial" w:eastAsia="Arial" w:hAnsi="Arial"/>
          <w:b/>
          <w:bCs/>
          <w:i w:val="false"/>
          <w:iCs w:val="false"/>
          <w:color w:val="1B2A4A"/>
          <w:sz w:val="22"/>
          <w:szCs w:val="22"/>
        </w:rPr>
        <w:t xml:space="preserve">1. The Memo Gamelin Never Got</w:t>
      </w:r>
    </w:p>
    <w:p>
      <w:pPr>
        <w:spacing w:line="336" w:lineRule="auto"/>
        <w:jc w:val="left"/>
      </w:pPr>
      <w:r>
        <w:rPr>
          <w:rFonts w:ascii="Arial" w:cs="Arial" w:eastAsia="Arial" w:hAnsi="Arial"/>
          <w:b w:val="false"/>
          <w:bCs w:val="false"/>
          <w:i w:val="false"/>
          <w:iCs w:val="false"/>
          <w:color w:val="333333"/>
          <w:sz w:val="22"/>
          <w:szCs w:val="22"/>
        </w:rPr>
        <w:t xml:space="preserve">Students write the one-page warning a French staff officer might have handed the commander-in-chief in April 1940, arguing that the Ardennes is the danger point. They must give three reasons drawn from the lesson and name the one objection their own commander would raise.</w:t>
      </w:r>
    </w:p>
    <w:p>
      <w:pPr>
        <w:spacing w:after="100"/>
      </w:pPr>
    </w:p>
    <w:p>
      <w:pPr>
        <w:pStyle w:val="Heading3"/>
        <w:spacing w:line="288" w:lineRule="auto"/>
        <w:jc w:val="left"/>
      </w:pPr>
      <w:r>
        <w:rPr>
          <w:rFonts w:ascii="Arial" w:cs="Arial" w:eastAsia="Arial" w:hAnsi="Arial"/>
          <w:b/>
          <w:bCs/>
          <w:i w:val="false"/>
          <w:iCs w:val="false"/>
          <w:color w:val="1B2A4A"/>
          <w:sz w:val="22"/>
          <w:szCs w:val="22"/>
        </w:rPr>
        <w:t xml:space="preserve">2. Rewrite the Telegram</w:t>
      </w:r>
    </w:p>
    <w:p>
      <w:pPr>
        <w:spacing w:line="336" w:lineRule="auto"/>
        <w:jc w:val="left"/>
      </w:pPr>
      <w:r>
        <w:rPr>
          <w:rFonts w:ascii="Arial" w:cs="Arial" w:eastAsia="Arial" w:hAnsi="Arial"/>
          <w:b w:val="false"/>
          <w:bCs w:val="false"/>
          <w:i w:val="false"/>
          <w:iCs w:val="false"/>
          <w:color w:val="333333"/>
          <w:sz w:val="22"/>
          <w:szCs w:val="22"/>
        </w:rPr>
        <w:t xml:space="preserve">Students rewrite Bullitt’s May 15 telegram as a 150-word message a modern ambassador might send, then explain in three sentences what the word "hernia" does that their version does not.</w:t>
      </w:r>
    </w:p>
    <w:p>
      <w:pPr>
        <w:spacing w:after="100"/>
      </w:pPr>
    </w:p>
    <w:p>
      <w:pPr>
        <w:pStyle w:val="Heading3"/>
        <w:spacing w:line="288" w:lineRule="auto"/>
        <w:jc w:val="left"/>
      </w:pPr>
      <w:r>
        <w:rPr>
          <w:rFonts w:ascii="Arial" w:cs="Arial" w:eastAsia="Arial" w:hAnsi="Arial"/>
          <w:b/>
          <w:bCs/>
          <w:i w:val="false"/>
          <w:iCs w:val="false"/>
          <w:color w:val="1B2A4A"/>
          <w:sz w:val="22"/>
          <w:szCs w:val="22"/>
        </w:rPr>
        <w:t xml:space="preserve">3. Same Tanks, Different Answer</w:t>
      </w:r>
    </w:p>
    <w:p>
      <w:pPr>
        <w:spacing w:line="336" w:lineRule="auto"/>
        <w:jc w:val="left"/>
      </w:pPr>
      <w:r>
        <w:rPr>
          <w:rFonts w:ascii="Arial" w:cs="Arial" w:eastAsia="Arial" w:hAnsi="Arial"/>
          <w:b w:val="false"/>
          <w:bCs w:val="false"/>
          <w:i w:val="false"/>
          <w:iCs w:val="false"/>
          <w:color w:val="333333"/>
          <w:sz w:val="22"/>
          <w:szCs w:val="22"/>
        </w:rPr>
        <w:t xml:space="preserve">Students redraw the Part 3 data table as a plan: keeping the same French tanks, aircraft, and forts, they write how they would have organized and positioned them in May 1940, and identify which single change they think mattered most.</w:t>
      </w:r>
    </w:p>
    <w:p>
      <w:pPr>
        <w:spacing w:after="100"/>
      </w:pPr>
    </w:p>
    <w:p>
      <w:pPr>
        <w:spacing w:after="200"/>
      </w:pPr>
    </w:p>
    <w:p>
      <w:pPr>
        <w:pStyle w:val="Heading2"/>
        <w:keepNext/>
        <w:keepLines/>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10</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Whole-Class Discussion Questions</w:t>
      </w:r>
    </w:p>
    <w:p>
      <w:pPr>
        <w:spacing w:line="336" w:lineRule="auto"/>
        <w:jc w:val="left"/>
      </w:pPr>
      <w:r>
        <w:rPr>
          <w:rFonts w:ascii="Arial" w:cs="Arial" w:eastAsia="Arial" w:hAnsi="Arial"/>
          <w:b/>
          <w:bCs/>
          <w:i w:val="false"/>
          <w:iCs w:val="false"/>
          <w:color w:val="333333"/>
          <w:sz w:val="22"/>
          <w:szCs w:val="22"/>
        </w:rPr>
        <w:t xml:space="preserve">1. The Maginot Line did exactly what it was built to do and France still lost. Was it a waste of money, or a success that solved the wrong problem?</w:t>
      </w:r>
    </w:p>
    <w:p>
      <w:pPr>
        <w:spacing w:after="80"/>
      </w:pPr>
    </w:p>
    <w:p>
      <w:pPr>
        <w:spacing w:line="336" w:lineRule="auto"/>
        <w:jc w:val="left"/>
      </w:pPr>
      <w:r>
        <w:rPr>
          <w:rFonts w:ascii="Arial" w:cs="Arial" w:eastAsia="Arial" w:hAnsi="Arial"/>
          <w:b/>
          <w:bCs/>
          <w:i w:val="false"/>
          <w:iCs w:val="false"/>
          <w:color w:val="333333"/>
          <w:sz w:val="22"/>
          <w:szCs w:val="22"/>
        </w:rPr>
        <w:t xml:space="preserve">2. French planners decided the Ardennes was impassable for tanks. How do you defend against something you have decided is impossible?</w:t>
      </w:r>
    </w:p>
    <w:p>
      <w:pPr>
        <w:spacing w:after="80"/>
      </w:pPr>
    </w:p>
    <w:p>
      <w:pPr>
        <w:spacing w:line="336" w:lineRule="auto"/>
        <w:jc w:val="left"/>
      </w:pPr>
      <w:r>
        <w:rPr>
          <w:rFonts w:ascii="Arial" w:cs="Arial" w:eastAsia="Arial" w:hAnsi="Arial"/>
          <w:b/>
          <w:bCs/>
          <w:i w:val="false"/>
          <w:iCs w:val="false"/>
          <w:color w:val="333333"/>
          <w:sz w:val="22"/>
          <w:szCs w:val="22"/>
        </w:rPr>
        <w:t xml:space="preserve">3. Germany was not making better decisions than France in 1940, only faster ones. Is speed of decision more valuable than quality of decision?</w:t>
      </w:r>
    </w:p>
    <w:p>
      <w:pPr>
        <w:spacing w:after="80"/>
      </w:pPr>
    </w:p>
    <w:p>
      <w:pPr>
        <w:spacing w:line="336" w:lineRule="auto"/>
        <w:jc w:val="left"/>
      </w:pPr>
      <w:r>
        <w:rPr>
          <w:rFonts w:ascii="Arial" w:cs="Arial" w:eastAsia="Arial" w:hAnsi="Arial"/>
          <w:b/>
          <w:bCs/>
          <w:i w:val="false"/>
          <w:iCs w:val="false"/>
          <w:color w:val="333333"/>
          <w:sz w:val="22"/>
          <w:szCs w:val="22"/>
        </w:rPr>
        <w:t xml:space="preserve">4. Dunkirk saved 338,000 soldiers and almost no equipment. Was that a victory, a defeat, or something with no good name?</w:t>
      </w:r>
    </w:p>
    <w:p>
      <w:pPr>
        <w:spacing w:after="80"/>
      </w:pPr>
    </w:p>
    <w:p>
      <w:pPr>
        <w:spacing w:line="336" w:lineRule="auto"/>
        <w:jc w:val="left"/>
      </w:pPr>
      <w:r>
        <w:rPr>
          <w:rFonts w:ascii="Arial" w:cs="Arial" w:eastAsia="Arial" w:hAnsi="Arial"/>
          <w:b/>
          <w:bCs/>
          <w:i w:val="false"/>
          <w:iCs w:val="false"/>
          <w:color w:val="333333"/>
          <w:sz w:val="22"/>
          <w:szCs w:val="22"/>
        </w:rPr>
        <w:t xml:space="preserve">5. If France had more tanks and still lost, what does that suggest about how we judge which side in a conflict is stronger?</w:t>
      </w:r>
    </w:p>
    <w:p>
      <w:pPr>
        <w:pageBreakBefore/>
        <w:spacing w:after="200" w:before="600"/>
        <w:jc w:val="center"/>
      </w:pPr>
      <w:r>
        <w:rPr>
          <w:rFonts w:ascii="Trebuchet MS" w:cs="Trebuchet MS" w:eastAsia="Trebuchet MS" w:hAnsi="Trebuchet MS"/>
          <w:b/>
          <w:bCs/>
          <w:color w:val="1B2A4A"/>
          <w:sz w:val="28"/>
          <w:szCs w:val="28"/>
        </w:rPr>
        <w:t xml:space="preserve">MORE LESSONS LESS PLANNING</w:t>
      </w:r>
    </w:p>
    <w:p>
      <w:pPr>
        <w:spacing w:after="300"/>
        <w:jc w:val="center"/>
      </w:pPr>
      <w:r>
        <w:rPr>
          <w:rFonts w:ascii="Trebuchet MS" w:cs="Trebuchet MS" w:eastAsia="Trebuchet MS" w:hAnsi="Trebuchet MS"/>
          <w:b/>
          <w:bCs/>
          <w:color w:val="1B2A4A"/>
          <w:sz w:val="48"/>
          <w:szCs w:val="48"/>
        </w:rPr>
        <w:t xml:space="preserve">Thank You!</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If you enjoyed this product, please do not forget to rate and review to assist other teachers.</w:t>
            </w:r>
          </w:p>
        </w:tc>
      </w:tr>
    </w:tbl>
    <w:p>
      <w:pPr>
        <w:spacing w:after="120" w:before="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E8735A" w:val="clear"/>
          </w:tcPr>
          <w:p/>
        </w:tc>
        <w:tc>
          <w:tcPr>
            <w:tcW w:type="dxa" w:w="9240"/>
            <w:tcBorders>
              <w:top w:val="none"/>
              <w:left w:val="none"/>
              <w:bottom w:val="none"/>
              <w:right w:val="none"/>
            </w:tcBorders>
            <w:shd w:fill="FFF8F6"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Looking for future discounts? Earn TPT credits by reviewing purchased products.</w:t>
            </w:r>
          </w:p>
        </w:tc>
      </w:tr>
    </w:tbl>
    <w:p>
      <w:pPr>
        <w:spacing w:after="120" w:before="120"/>
      </w:pPr>
    </w:p>
    <w:p>
      <w:pPr>
        <w:spacing w:line="336" w:lineRule="auto"/>
        <w:jc w:val="center"/>
      </w:pPr>
      <w:r>
        <w:rPr>
          <w:rFonts w:ascii="Arial" w:cs="Arial" w:eastAsia="Arial" w:hAnsi="Arial"/>
          <w:color w:val="555555"/>
          <w:sz w:val="20"/>
          <w:szCs w:val="20"/>
        </w:rPr>
        <w:t xml:space="preserve">Please contact me if you have any issues with this product. Just like our students, I am always looking for opportunities to grow.</w:t>
      </w: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2A9D8F" w:sz="4"/>
      </w:pBdr>
      <w:spacing w:before="120"/>
      <w:jc w:val="center"/>
    </w:pPr>
    <w:r>
      <w:rPr>
        <w:rFonts w:ascii="Arial" w:cs="Arial" w:eastAsia="Arial" w:hAnsi="Arial"/>
        <w:color w:val="707070"/>
        <w:sz w:val="18"/>
        <w:szCs w:val="18"/>
      </w:rPr>
      <w:fldChar w:fldCharType="begin"/>
      <w:instrText xml:space="preserve">PAGE</w:instrText>
      <w:fldChar w:fldCharType="separate"/>
      <w:fldChar w:fldCharType="end"/>
    </w:r>
    <w:r>
      <w:rPr>
        <w:rFonts w:ascii="Arial" w:cs="Arial" w:eastAsia="Arial" w:hAnsi="Arial"/>
        <w:color w:val="707070"/>
        <w:sz w:val="18"/>
        <w:szCs w:val="18"/>
      </w:rPr>
      <w:t xml:space="preserve">     © More Lessons Less Planning  |  morelessonslessplanning.com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rPr>
      <w:rFonts w:ascii="Trebuchet MS" w:cs="Trebuchet MS" w:eastAsia="Trebuchet MS" w:hAnsi="Trebuchet MS"/>
      <w:b/>
      <w:bCs/>
      <w:color w:val="FFFFFF"/>
      <w:sz w:val="40"/>
      <w:szCs w:val="40"/>
    </w:rPr>
  </w:style>
  <w:style w:type="paragraph" w:styleId="Heading2">
    <w:name w:val="Heading 2"/>
    <w:basedOn w:val="Normal"/>
    <w:next w:val="Normal"/>
    <w:qFormat/>
    <w:rPr>
      <w:rFonts w:ascii="Trebuchet MS" w:cs="Trebuchet MS" w:eastAsia="Trebuchet MS" w:hAnsi="Trebuchet MS"/>
      <w:b/>
      <w:bCs/>
      <w:color w:val="1B2A4A"/>
      <w:sz w:val="28"/>
      <w:szCs w:val="28"/>
    </w:rPr>
  </w:style>
  <w:style w:type="paragraph" w:styleId="Heading3">
    <w:name w:val="Heading 3"/>
    <w:basedOn w:val="Normal"/>
    <w:next w:val="Normal"/>
    <w:qFormat/>
    <w:rPr>
      <w:rFonts w:ascii="Arial" w:cs="Arial" w:eastAsia="Arial" w:hAnsi="Arial"/>
      <w:b/>
      <w:bCs/>
      <w:color w:val="1B2A4A"/>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2026-08-04T02:55:51.962Z</dcterms:created>
  <dcterms:modified xsi:type="dcterms:W3CDTF">2026-08-04T02:55:51.962Z</dcterms:modified>
</cp:coreProperties>
</file>

<file path=docProps/custom.xml><?xml version="1.0" encoding="utf-8"?>
<Properties xmlns="http://schemas.openxmlformats.org/officeDocument/2006/custom-properties" xmlns:vt="http://schemas.openxmlformats.org/officeDocument/2006/docPropsVTypes"/>
</file>