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BIG TECH ANTITRUST - GOOGLE APPLE AMAZON META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Big Tech Antitrust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 structure with ONE seller, no close substitutes for the product, and high barriers preventing new firms from entering; the single firm is a price-maker with significant market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Network effects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product becomes more valuable to each user as MORE users join (Facebook is more valuable when your friends are on it; Google search is more accurate with more queries) - the most durable barrier to entry in digital markets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Self-preferencing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platform owner uses its dominant position to favor its own products over rivals on the same platform - Amazon promoting Amazon Basics over third-party sellers; Google placing Google Shopping above organic search - a central FTC and DOJ allegation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Walled garden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platform that controls the user experience end-to-end and restricts what other companies can do inside it - Apple is the canonical walled garden; only Apple-approved apps run on iPhone, and Apple takes 15-30% of in-app purchases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Killer acquisition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dominant firm buys a smaller potential competitor specifically to eliminate it as a future threat - Meta's 2012 acquisition of Instagram and 2014 acquisition of WhatsApp are the FTC's primary examples; illegal under Clayton Act Section 7</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Default search engine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pre-installed pre-selected search engine on a device or browser; the August 2024 U.S. v. Google ruling found that Google's $20+ billion/year payments to Apple to be the default search on iPhones illegally maintained Google's search monopoly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Gatekeeper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legal designation under the EU Digital Markets Act for a Big Tech platform with significant durable market position (40M+ EU users; 7.5B+ euro annual EU turnover) - six gatekeepers were designated in 2023 (Alphabet, Apple, Amazon, ByteDance, Meta, Microsoft)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Interoperability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competing services can communicate with each other - your iPhone can text an Android phone seamlessly; your email account can email any other email account - the EU DMA mandates interoperability for messaging; U.S. cases increasingly demand it as a remedy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Sherman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1890 federal antitrust statute that bans monopolization (Section 2) and contracts or conspiracies in restraint of trade (Section 1) - the principal law underlying U.S. v. Google search (2024 ruling) and U.S. v. Apple (2024 filing)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Clayton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1914 federal antitrust statute that blocks anti-competitive mergers (Section 7) - the law underlying the FTC v. Meta challenge to the 2012 Instagram and 2014 WhatsApp acquisitions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Big Tech Antitrust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gatekeeper</w:t>
      </w:r>
      <w:r>
        <w:rPr>
          <w:rFonts w:ascii="Arial" w:cs="Arial" w:eastAsia="Arial" w:hAnsi="Arial"/>
          <w:color w:val="555555"/>
          <w:sz w:val="21"/>
          <w:szCs w:val="21"/>
        </w:rPr>
        <w:t xml:space="preserve">   ·   </w:t>
      </w:r>
      <w:r>
        <w:rPr>
          <w:rFonts w:ascii="Arial" w:cs="Arial" w:eastAsia="Arial" w:hAnsi="Arial"/>
          <w:color w:val="1B2A4A"/>
          <w:sz w:val="21"/>
          <w:szCs w:val="21"/>
        </w:rPr>
        <w:t xml:space="preserve">killer acquisition</w:t>
      </w:r>
      <w:r>
        <w:rPr>
          <w:rFonts w:ascii="Arial" w:cs="Arial" w:eastAsia="Arial" w:hAnsi="Arial"/>
          <w:color w:val="555555"/>
          <w:sz w:val="21"/>
          <w:szCs w:val="21"/>
        </w:rPr>
        <w:t xml:space="preserve">   ·   </w:t>
      </w:r>
      <w:r>
        <w:rPr>
          <w:rFonts w:ascii="Arial" w:cs="Arial" w:eastAsia="Arial" w:hAnsi="Arial"/>
          <w:color w:val="1B2A4A"/>
          <w:sz w:val="21"/>
          <w:szCs w:val="21"/>
        </w:rPr>
        <w:t xml:space="preserve">sherman act</w:t>
      </w:r>
      <w:r>
        <w:rPr>
          <w:rFonts w:ascii="Arial" w:cs="Arial" w:eastAsia="Arial" w:hAnsi="Arial"/>
          <w:color w:val="555555"/>
          <w:sz w:val="21"/>
          <w:szCs w:val="21"/>
        </w:rPr>
        <w:t xml:space="preserve">   ·   </w:t>
      </w:r>
      <w:r>
        <w:rPr>
          <w:rFonts w:ascii="Arial" w:cs="Arial" w:eastAsia="Arial" w:hAnsi="Arial"/>
          <w:color w:val="1B2A4A"/>
          <w:sz w:val="21"/>
          <w:szCs w:val="21"/>
        </w:rPr>
        <w:t xml:space="preserve">self-preferencing</w:t>
      </w:r>
      <w:r>
        <w:rPr>
          <w:rFonts w:ascii="Arial" w:cs="Arial" w:eastAsia="Arial" w:hAnsi="Arial"/>
          <w:color w:val="555555"/>
          <w:sz w:val="21"/>
          <w:szCs w:val="21"/>
        </w:rPr>
        <w:t xml:space="preserve">   ·   </w:t>
      </w:r>
      <w:r>
        <w:rPr>
          <w:rFonts w:ascii="Arial" w:cs="Arial" w:eastAsia="Arial" w:hAnsi="Arial"/>
          <w:color w:val="1B2A4A"/>
          <w:sz w:val="21"/>
          <w:szCs w:val="21"/>
        </w:rPr>
        <w:t xml:space="preserve">monopoly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opens with the core market structure. A market with ONE seller, no close substitutes, and high barriers that keep new firms out is a </w:t>
      </w:r>
      <w:r>
        <w:rPr>
          <w:rFonts w:ascii="Arial" w:cs="Arial" w:eastAsia="Arial" w:hAnsi="Arial"/>
          <w:b/>
          <w:bCs/>
          <w:i/>
          <w:iCs/>
          <w:color w:val="145F58"/>
          <w:sz w:val="22"/>
          <w:szCs w:val="22"/>
        </w:rPr>
        <w:t xml:space="preserve">monopoly</w:t>
      </w:r>
      <w:r>
        <w:rPr>
          <w:rFonts w:ascii="Arial" w:cs="Arial" w:eastAsia="Arial" w:hAnsi="Arial"/>
          <w:color w:val="1B2A4A"/>
          <w:sz w:val="22"/>
          <w:szCs w:val="22"/>
        </w:rPr>
        <w:t xml:space="preserve"> - the structure the four features describe.</w:t>
      </w:r>
    </w:p>
    <w:p>
      <w:pPr>
        <w:keepLines/>
        <w:spacing w:after="160"/>
        <w:ind w:left="360"/>
      </w:pPr>
      <w:r>
        <w:rPr>
          <w:rFonts w:ascii="Arial" w:cs="Arial" w:eastAsia="Arial" w:hAnsi="Arial"/>
          <w:b/>
          <w:bCs/>
          <w:i/>
          <w:iCs/>
          <w:color w:val="145F58"/>
          <w:sz w:val="22"/>
          <w:szCs w:val="22"/>
        </w:rPr>
        <w:t xml:space="preserve">monopoly. A monopoly has one seller, no close substitutes, and high barriers to entry, and the single firm is a price-maker with significant market power.</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FTC says Amazon ranks Amazon Basics above third-party listings in the Buy Box on its own marketplace. When a platform owner favors its OWN products over rivals on the same platform, that conduct is called </w:t>
      </w:r>
      <w:r>
        <w:rPr>
          <w:rFonts w:ascii="Arial" w:cs="Arial" w:eastAsia="Arial" w:hAnsi="Arial"/>
          <w:b/>
          <w:bCs/>
          <w:i/>
          <w:iCs/>
          <w:color w:val="145F58"/>
          <w:sz w:val="22"/>
          <w:szCs w:val="22"/>
        </w:rPr>
        <w:t xml:space="preserve">self-preferencing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self-preferencing. A platform owner uses its dominant position to favor its own products over competitors on the same platform - a central FTC and DOJ allegation against Amazon and Google.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Marcus points to Meta buying Instagram in 2012 and WhatsApp in 2014. When a dominant firm buys a smaller rising rival specifically to eliminate it as a future competitor, antitrust law calls that a </w:t>
      </w:r>
      <w:r>
        <w:rPr>
          <w:rFonts w:ascii="Arial" w:cs="Arial" w:eastAsia="Arial" w:hAnsi="Arial"/>
          <w:b/>
          <w:bCs/>
          <w:i/>
          <w:iCs/>
          <w:color w:val="145F58"/>
          <w:sz w:val="22"/>
          <w:szCs w:val="22"/>
        </w:rPr>
        <w:t xml:space="preserve">killer</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acquisition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killer acquisition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Under the EU Digital Markets Act, a Big Tech platform with a significant durable market position is given a special legal label. That designation - applied to Alphabet, Apple, Amazon, ByteDance, Meta, and Microsoft - is </w:t>
      </w:r>
      <w:r>
        <w:rPr>
          <w:rFonts w:ascii="Arial" w:cs="Arial" w:eastAsia="Arial" w:hAnsi="Arial"/>
          <w:b/>
          <w:bCs/>
          <w:i/>
          <w:iCs/>
          <w:color w:val="145F58"/>
          <w:sz w:val="22"/>
          <w:szCs w:val="22"/>
        </w:rPr>
        <w:t xml:space="preserve">gatekeeper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gatekeeper. The EU Digital Markets Act designation for a major Big Tech platform with a significant durable market position; six gatekeepers were named in 2023.</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1890 federal statute that bans monopolization under Section 2 - the principal law behind the Google search and Apple cases - is the </w:t>
      </w:r>
      <w:r>
        <w:rPr>
          <w:rFonts w:ascii="Arial" w:cs="Arial" w:eastAsia="Arial" w:hAnsi="Arial"/>
          <w:b/>
          <w:bCs/>
          <w:i/>
          <w:iCs/>
          <w:color w:val="145F58"/>
          <w:sz w:val="22"/>
          <w:szCs w:val="22"/>
        </w:rPr>
        <w:t xml:space="preserve">Sherman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Act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Sherman Act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Three Big Tech Investigation Charts with Marcus Holt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(chart_bigtech_market_shares) - the bar chart of Big Tech core-market shares for Google, Apple, Amazon, and Meta shown below - to evaluate which company has the strongest monopoly position.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each of the four core-market shares off the chart.</w:t>
      </w:r>
    </w:p>
    <w:p>
      <w:pPr>
        <w:keepNext/>
        <w:keepLines/>
        <w:spacing w:after="60"/>
        <w:ind w:left="360"/>
      </w:pPr>
      <w:r>
        <w:rPr>
          <w:rFonts w:ascii="Arial" w:cs="Arial" w:eastAsia="Arial" w:hAnsi="Arial"/>
          <w:b/>
          <w:bCs/>
          <w:i/>
          <w:iCs/>
          <w:color w:val="145F58"/>
          <w:sz w:val="22"/>
          <w:szCs w:val="22"/>
        </w:rPr>
        <w:t xml:space="preserve">SHARES (from the chart): Google ~90% general search, Meta ~70% social networks combined, Apple ~50% smartphone OS via iOS, Amazon ~38% e-commerce.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Rank the four companies from HIGHEST to LOWEST share.</w:t>
      </w:r>
    </w:p>
    <w:p>
      <w:pPr>
        <w:keepNext/>
        <w:keepLines/>
        <w:spacing w:after="60"/>
        <w:ind w:left="360"/>
      </w:pPr>
      <w:r>
        <w:rPr>
          <w:rFonts w:ascii="Arial" w:cs="Arial" w:eastAsia="Arial" w:hAnsi="Arial"/>
          <w:b/>
          <w:bCs/>
          <w:i/>
          <w:iCs/>
          <w:color w:val="145F58"/>
          <w:sz w:val="22"/>
          <w:szCs w:val="22"/>
        </w:rPr>
        <w:t xml:space="preserve">RANKING (high to low): 1. Google (90%), 2.</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which company has the LOWEST share - and explain in 1-2 sentences why that company is still potentially a monopoly in a NARROW market definition.</w:t>
      </w:r>
    </w:p>
    <w:p>
      <w:pPr>
        <w:keepNext w:val="false"/>
        <w:keepLines/>
        <w:spacing w:after="120"/>
        <w:ind w:left="360"/>
      </w:pPr>
      <w:r>
        <w:rPr>
          <w:rFonts w:ascii="Arial" w:cs="Arial" w:eastAsia="Arial" w:hAnsi="Arial"/>
          <w:b/>
          <w:bCs/>
          <w:i/>
          <w:iCs/>
          <w:color w:val="145F58"/>
          <w:sz w:val="22"/>
          <w:szCs w:val="22"/>
        </w:rPr>
        <w:t xml:space="preserve">LOWEST SHARE: Amazon at 38% of U.S. e-commerce. Amazon is still potentially a monopoly under the FTC's narrow market definition - the FTC defines the relevant market as the 'online superstore market' (Amazon + Walmart Marketplace + maybe Target.com), in which Amazon's share is much higher than 38%.</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(chart_app_store_commission) - the bar chart showing how a $100 in-app purchase is split between Apple commission and developer revenue shown below - to compute the App Store economic engine.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standard commission ($ amount) and standard developer revenue off the chart.</w:t>
      </w:r>
    </w:p>
    <w:p>
      <w:pPr>
        <w:keepNext/>
        <w:keepLines/>
        <w:spacing w:after="60"/>
        <w:ind w:left="360"/>
      </w:pPr>
      <w:r>
        <w:rPr>
          <w:rFonts w:ascii="Arial" w:cs="Arial" w:eastAsia="Arial" w:hAnsi="Arial"/>
          <w:b/>
          <w:bCs/>
          <w:i/>
          <w:iCs/>
          <w:color w:val="145F58"/>
          <w:sz w:val="22"/>
          <w:szCs w:val="22"/>
        </w:rPr>
        <w:t xml:space="preserve">STANDARD (30% rate): Apple commission $30, developer revenue $70 on a $100 in-app purchase.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small-developer commission ($ amount) and small-developer revenue off the chart.</w:t>
      </w:r>
    </w:p>
    <w:p>
      <w:pPr>
        <w:keepNext/>
        <w:keepLines/>
        <w:spacing w:after="60"/>
        <w:ind w:left="360"/>
      </w:pPr>
      <w:r>
        <w:rPr>
          <w:rFonts w:ascii="Arial" w:cs="Arial" w:eastAsia="Arial" w:hAnsi="Arial"/>
          <w:b/>
          <w:bCs/>
          <w:i/>
          <w:iCs/>
          <w:color w:val="145F58"/>
          <w:sz w:val="22"/>
          <w:szCs w:val="22"/>
        </w:rPr>
        <w:t xml:space="preserve">SMALL DEVELOPER (15% rate, developers under $1M/year): Apple commission $15, developer revenue $85.</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standard commission as a PERCENT.</w:t>
      </w:r>
    </w:p>
    <w:p>
      <w:pPr>
        <w:keepNext/>
        <w:keepLines/>
        <w:spacing w:after="60"/>
        <w:ind w:left="360"/>
      </w:pPr>
      <w:r>
        <w:rPr>
          <w:rFonts w:ascii="Arial" w:cs="Arial" w:eastAsia="Arial" w:hAnsi="Arial"/>
          <w:b/>
          <w:bCs/>
          <w:i/>
          <w:iCs/>
          <w:color w:val="145F58"/>
          <w:sz w:val="22"/>
          <w:szCs w:val="22"/>
        </w:rPr>
        <w:t xml:space="preserve">STANDARD COMMISSION = 30% of the in-app purchase amount.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the 30% standard rate is the central economic issue in the DOJ Apple case and Epic Games v. Apple.</w:t>
      </w:r>
    </w:p>
    <w:p>
      <w:pPr>
        <w:keepNext w:val="false"/>
        <w:keepLines/>
        <w:spacing w:after="120"/>
        <w:ind w:left="360"/>
      </w:pPr>
      <w:r>
        <w:rPr>
          <w:rFonts w:ascii="Arial" w:cs="Arial" w:eastAsia="Arial" w:hAnsi="Arial"/>
          <w:b/>
          <w:bCs/>
          <w:i/>
          <w:iCs/>
          <w:color w:val="145F58"/>
          <w:sz w:val="22"/>
          <w:szCs w:val="22"/>
        </w:rPr>
        <w:t xml:space="preserve">The 30% rate is the central economic issue because it is roughly 10x higher than typical credit-card processing (2-3%) and Apple captures this fee because there is NO alternative app store on iPhone in the U.S. Apple defends the commission as funding security, payment infrastructure, and developer tools.</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(chart_meta_acquisitions) - the bar chart showing Meta's four major acquisitions with purchase prices and dates shown below - to evaluate the FTC killer-acquisition allegation.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purchase price for each of the four Meta acquisitions (Instagram, WhatsApp, Oculus, CTRL-Labs).</w:t>
      </w:r>
    </w:p>
    <w:p>
      <w:pPr>
        <w:keepNext/>
        <w:keepLines/>
        <w:spacing w:after="60"/>
        <w:ind w:left="360"/>
      </w:pPr>
      <w:r>
        <w:rPr>
          <w:rFonts w:ascii="Arial" w:cs="Arial" w:eastAsia="Arial" w:hAnsi="Arial"/>
          <w:b/>
          <w:bCs/>
          <w:i/>
          <w:iCs/>
          <w:color w:val="145F58"/>
          <w:sz w:val="22"/>
          <w:szCs w:val="22"/>
        </w:rPr>
        <w:t xml:space="preserve">PURCHASE PRICES: Instagram 2012 ($1 billion); WhatsApp 2014 ($19 billion); Oculus 2014 ($2 billion); CTRL-Labs 2019 ($1 billion).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which acquisition was the LARGEST in dollar terms.</w:t>
      </w:r>
    </w:p>
    <w:p>
      <w:pPr>
        <w:keepNext/>
        <w:keepLines/>
        <w:spacing w:after="60"/>
        <w:ind w:left="360"/>
      </w:pPr>
      <w:r>
        <w:rPr>
          <w:rFonts w:ascii="Arial" w:cs="Arial" w:eastAsia="Arial" w:hAnsi="Arial"/>
          <w:b/>
          <w:bCs/>
          <w:i/>
          <w:iCs/>
          <w:color w:val="145F58"/>
          <w:sz w:val="22"/>
          <w:szCs w:val="22"/>
        </w:rPr>
        <w:t xml:space="preserve">LARGEST: WhatsApp 2014 at $19 billion - roughly 19x larger than the Instagram deal and the largest social/messaging acquisition in U.S. history at the time.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which TWO acquisitions are the FTC's primary killer-acquisition targets.</w:t>
      </w:r>
    </w:p>
    <w:p>
      <w:pPr>
        <w:keepNext/>
        <w:keepLines/>
        <w:spacing w:after="60"/>
        <w:ind w:left="360"/>
      </w:pPr>
      <w:r>
        <w:rPr>
          <w:rFonts w:ascii="Arial" w:cs="Arial" w:eastAsia="Arial" w:hAnsi="Arial"/>
          <w:b/>
          <w:bCs/>
          <w:i/>
          <w:iCs/>
          <w:color w:val="145F58"/>
          <w:sz w:val="22"/>
          <w:szCs w:val="22"/>
        </w:rPr>
        <w:t xml:space="preserve">FTC TARGETS: Instagram (2012) and WhatsApp (2014). The FTC's December 2020 complaint seeks DIVESTITURE - forcing Meta to spin off both companies as separate firms.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makes an acquisition a KILLER ACQUISITION (and why Oculus and CTRL-Labs are not on the FTC target list).</w:t>
      </w:r>
    </w:p>
    <w:p>
      <w:pPr>
        <w:keepNext w:val="false"/>
        <w:keepLines/>
        <w:spacing w:after="120"/>
        <w:ind w:left="360"/>
      </w:pPr>
      <w:r>
        <w:rPr>
          <w:rFonts w:ascii="Arial" w:cs="Arial" w:eastAsia="Arial" w:hAnsi="Arial"/>
          <w:b/>
          <w:bCs/>
          <w:i/>
          <w:iCs/>
          <w:color w:val="145F58"/>
          <w:sz w:val="22"/>
          <w:szCs w:val="22"/>
        </w:rPr>
        <w:t xml:space="preserve">A killer acquisition is when a dominant firm buys a smaller RISING RIVAL in the SAME core market specifically to ELIMINATE it as a future competitor. Instagram (2012) was a rising photo-sharing rival to Facebook; WhatsApp (2014) was a rising messaging rival to Facebook Messenger.</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 Scenarios with Marcus Holt - Apply the Model</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GOOGLE DEFAULT-SEARCH REMEDY.</w:t>
      </w:r>
    </w:p>
    <w:p>
      <w:pPr>
        <w:keepNext/>
        <w:keepLines/>
        <w:spacing w:after="80" w:line="288" w:lineRule="auto"/>
        <w:ind w:left="380"/>
      </w:pPr>
      <w:r>
        <w:rPr>
          <w:rFonts w:ascii="Arial" w:cs="Arial" w:eastAsia="Arial" w:hAnsi="Arial"/>
          <w:b/>
          <w:bCs/>
          <w:color w:val="1B2A4A"/>
          <w:sz w:val="22"/>
          <w:szCs w:val="22"/>
        </w:rPr>
        <w:t xml:space="preserve">Marcus walks you through the 2025 remedies phase scenario: Judge Mehta already ruled Google illegally maintained its search monopoly via default-search payments. Now he must decide the remedy. The DOJ proposes (a) ban Google from making any default-search payments to Apple/Samsung/Mozilla; (b) mandatory CHOICE SCREEN on every new device asking users to pick their search engine; (c) divestiture of Chrome browser. Apply NETWORK EFFECTS to each remedy: (a) Which remedy directly attacks network effects? (b) Which one only fights conduct? (c) Predict whether a choice screen would actually shift adult users from Google (and why).</w:t>
      </w:r>
    </w:p>
    <w:p>
      <w:pPr>
        <w:keepLines/>
        <w:spacing w:after="160"/>
        <w:ind w:left="360"/>
      </w:pPr>
      <w:r>
        <w:rPr>
          <w:rFonts w:ascii="Arial" w:cs="Arial" w:eastAsia="Arial" w:hAnsi="Arial"/>
          <w:b/>
          <w:bCs/>
          <w:i/>
          <w:iCs/>
          <w:color w:val="145F58"/>
          <w:sz w:val="22"/>
          <w:szCs w:val="22"/>
        </w:rPr>
        <w:t xml:space="preserve">(a) DIRECTLY ATTACKS NETWORK EFFECTS: divestiture of Chrome. A separate Chrome that does not default to Google would let Bing and DuckDuckGo accumulate query data (the network-effect input). Over time, that data builds rival search-quality - eroding the moat. (b) ONLY FIGHTS CONDUCT: banning default-search payments. This removes the illegal distribution tactic but leaves Google's existing 90% share and data moat intact. Choice screen is somewhere in between - removes the default lock-in but does not actively erode network effects. (c) A choice screen would probably NOT shift many adult users from Google. Most adults are habituated to Google and would tap Google on first prompt out of muscle memory. Choice screens might shift NEW users (children, new immigrants, users who pick the unfamiliar option). Real network-effect erosion requires a remedy stronger than choice screens - likely divestiture or interoperability mandates that force Google to share search data with rivals.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AMAZON BUY BOX SELF-PREFERENCING ANALYSIS. The FTC alleges Amazon's Buy Box algorithm favors Amazon Basics over third-party seller products on the same marketplace. Suppose you are a third-party seller of a $30 water bottle. Amazon Basics sells a similar water bottle for $25 - and the Buy Box defaults to the Amazon Basics product.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Define SELF-PREFERENCING in 1 sentence.</w:t>
      </w:r>
    </w:p>
    <w:p>
      <w:pPr>
        <w:keepNext/>
        <w:keepLines/>
        <w:spacing w:after="60"/>
        <w:ind w:left="360"/>
      </w:pPr>
      <w:r>
        <w:rPr>
          <w:rFonts w:ascii="Arial" w:cs="Arial" w:eastAsia="Arial" w:hAnsi="Arial"/>
          <w:b/>
          <w:bCs/>
          <w:i/>
          <w:iCs/>
          <w:color w:val="145F58"/>
          <w:sz w:val="22"/>
          <w:szCs w:val="22"/>
        </w:rPr>
        <w:t xml:space="preserve">SELF-PREFERENCING is when a platform owner uses its dominant position to favor its OWN products over rivals on the same platform - Amazon Basics over third-party seller products in the Buy Box.</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SPECIFIC competitive harm to you as the third-party seller.</w:t>
      </w:r>
    </w:p>
    <w:p>
      <w:pPr>
        <w:keepNext/>
        <w:keepLines/>
        <w:spacing w:after="60"/>
        <w:ind w:left="360"/>
      </w:pPr>
      <w:r>
        <w:rPr>
          <w:rFonts w:ascii="Arial" w:cs="Arial" w:eastAsia="Arial" w:hAnsi="Arial"/>
          <w:b/>
          <w:bCs/>
          <w:i/>
          <w:iCs/>
          <w:color w:val="145F58"/>
          <w:sz w:val="22"/>
          <w:szCs w:val="22"/>
        </w:rPr>
        <w:t xml:space="preserve">SPECIFIC SELLER HARM: you (the third-party seller) lose sales because the Buy Box default goes to Amazon Basics even when your product has equivalent quality.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the SPECIFIC consumer harm (even though the Amazon Basics price is lower).</w:t>
      </w:r>
    </w:p>
    <w:p>
      <w:pPr>
        <w:keepNext/>
        <w:keepLines/>
        <w:spacing w:after="60"/>
        <w:ind w:left="360"/>
      </w:pPr>
      <w:r>
        <w:rPr>
          <w:rFonts w:ascii="Arial" w:cs="Arial" w:eastAsia="Arial" w:hAnsi="Arial"/>
          <w:b/>
          <w:bCs/>
          <w:i/>
          <w:iCs/>
          <w:color w:val="145F58"/>
          <w:sz w:val="22"/>
          <w:szCs w:val="22"/>
        </w:rPr>
        <w:t xml:space="preserve">SPECIFIC CONSUMER HARM (even though Amazon Basics is cheaper): consumers see only ONE product (Amazon's) when they could be choosing between two. The Buy Box default removes the meaningful comparison shopping that Amazon's marketplace was supposed to enable.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Recommend ONE remedy the FTC could seek that would directly address this self-preferencing conduct.</w:t>
      </w:r>
    </w:p>
    <w:p>
      <w:pPr>
        <w:keepNext w:val="false"/>
        <w:keepLines/>
        <w:spacing w:after="120"/>
        <w:ind w:left="360"/>
      </w:pPr>
      <w:r>
        <w:rPr>
          <w:rFonts w:ascii="Arial" w:cs="Arial" w:eastAsia="Arial" w:hAnsi="Arial"/>
          <w:b/>
          <w:bCs/>
          <w:i/>
          <w:iCs/>
          <w:color w:val="145F58"/>
          <w:sz w:val="22"/>
          <w:szCs w:val="22"/>
        </w:rPr>
        <w:t xml:space="preserve">RECOMMENDED REMEDY: mandate ALGORITHM TRANSPARENCY + a NON-DISCRIMINATION RULE forcing Amazon's Buy Box algorithm to rank Amazon Basics and third-party products on the same neutral criteria (price, reviews, shipping speed) with no preference for the house brand. This is the EU Digital Markets Act approach (mandatory algorithm transparency for gatekeepers).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APPLE APP STORE INTEROPERABILITY. The EU Digital Markets Act forced Apple to allow THIRD-PARTY APP STORES on iPhones in the EU (effective 2024). Suppose the U.S. court in U.S. v. Apple orders the same remedy in 2026.</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Predict ONE specific way developer revenue would change.</w:t>
      </w:r>
    </w:p>
    <w:p>
      <w:pPr>
        <w:keepNext/>
        <w:keepLines/>
        <w:spacing w:after="60"/>
        <w:ind w:left="360"/>
      </w:pPr>
      <w:r>
        <w:rPr>
          <w:rFonts w:ascii="Arial" w:cs="Arial" w:eastAsia="Arial" w:hAnsi="Arial"/>
          <w:b/>
          <w:bCs/>
          <w:i/>
          <w:iCs/>
          <w:color w:val="145F58"/>
          <w:sz w:val="22"/>
          <w:szCs w:val="22"/>
        </w:rPr>
        <w:t xml:space="preserve">DEVELOPER REVENUE: Many developers would launch in alternative app stores (like the Epic Games Store) that charge LOWER commissions (5-15% instead of 30%).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Predict ONE specific way consumer behavior would change.</w:t>
      </w:r>
    </w:p>
    <w:p>
      <w:pPr>
        <w:keepNext/>
        <w:keepLines/>
        <w:spacing w:after="60"/>
        <w:ind w:left="360"/>
      </w:pPr>
      <w:r>
        <w:rPr>
          <w:rFonts w:ascii="Arial" w:cs="Arial" w:eastAsia="Arial" w:hAnsi="Arial"/>
          <w:b/>
          <w:bCs/>
          <w:i/>
          <w:iCs/>
          <w:color w:val="145F58"/>
          <w:sz w:val="22"/>
          <w:szCs w:val="22"/>
        </w:rPr>
        <w:t xml:space="preserve">CONSUMER BEHAVIOR: Most casual consumers would stay with the Apple App Store (habit + trust + curation). Tech-savvy consumers and gamers would download alternative app stores to access cheaper apps or apps Apple banned (cloud gaming, alternative payment systems).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Predict ONE specific way Apple's revenue would change.</w:t>
      </w:r>
    </w:p>
    <w:p>
      <w:pPr>
        <w:keepNext/>
        <w:keepLines/>
        <w:spacing w:after="60"/>
        <w:ind w:left="360"/>
      </w:pPr>
      <w:r>
        <w:rPr>
          <w:rFonts w:ascii="Arial" w:cs="Arial" w:eastAsia="Arial" w:hAnsi="Arial"/>
          <w:b/>
          <w:bCs/>
          <w:i/>
          <w:iCs/>
          <w:color w:val="145F58"/>
          <w:sz w:val="22"/>
          <w:szCs w:val="22"/>
        </w:rPr>
        <w:t xml:space="preserve">APPLE REVENUE: Apple App Store commission revenue would DROP - potentially $3-5 billion/year in lost commissions. Apple would still earn money on iPhone hardware sales (the bigger revenue line) but the 30% Services growth engine would slow significantly.</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Marcus asks: would mandating INTEROPERABILITY between iMessage and WhatsApp (so green-bubble issues go away) attack a DIFFERENT walled-garden mechanism than third-party app stores - explain in 1-2 sentences.</w:t>
      </w:r>
    </w:p>
    <w:p>
      <w:pPr>
        <w:keepNext w:val="false"/>
        <w:keepLines/>
        <w:spacing w:after="120"/>
        <w:ind w:left="360"/>
      </w:pPr>
      <w:r>
        <w:rPr>
          <w:rFonts w:ascii="Arial" w:cs="Arial" w:eastAsia="Arial" w:hAnsi="Arial"/>
          <w:b/>
          <w:bCs/>
          <w:i/>
          <w:iCs/>
          <w:color w:val="145F58"/>
          <w:sz w:val="22"/>
          <w:szCs w:val="22"/>
        </w:rPr>
        <w:t xml:space="preserve">iMessage INTEROPERABILITY attacks a DIFFERENT mechanism than third-party app stores. Third-party app stores attack the App Store DISTRIBUTION monopoly (developers cannot reach iPhone users any other way).</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META DIVESTITURE MECHANICS. Suppose the FTC wins the 2025 Meta trial and the court orders Meta to DIVEST Instagram AND WhatsApp (force Meta to sell both as independent companies).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FOUR major Meta acquisitions from the chart and which TWO would be divested.</w:t>
      </w:r>
    </w:p>
    <w:p>
      <w:pPr>
        <w:keepNext/>
        <w:keepLines/>
        <w:spacing w:after="60"/>
        <w:ind w:left="360"/>
      </w:pPr>
      <w:r>
        <w:rPr>
          <w:rFonts w:ascii="Arial" w:cs="Arial" w:eastAsia="Arial" w:hAnsi="Arial"/>
          <w:b/>
          <w:bCs/>
          <w:i/>
          <w:iCs/>
          <w:color w:val="145F58"/>
          <w:sz w:val="22"/>
          <w:szCs w:val="22"/>
        </w:rPr>
        <w:t xml:space="preserve">FOUR ACQUISITIONS: Instagram (2012, $1B); WhatsApp (2014, $19B); Oculus (2014, $2B); CTRL-Labs (2019, $1B). DIVESTED: Instagram and WhatsApp - the two killer-acquisition targets. Oculus and CTRL-Labs would stay with Meta.</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Predict what happens to USER experience after divestiture (e.g., do Instagram and Facebook still share login? Cross-post features?).</w:t>
      </w:r>
    </w:p>
    <w:p>
      <w:pPr>
        <w:keepNext/>
        <w:keepLines/>
        <w:spacing w:after="60"/>
        <w:ind w:left="360"/>
      </w:pPr>
      <w:r>
        <w:rPr>
          <w:rFonts w:ascii="Arial" w:cs="Arial" w:eastAsia="Arial" w:hAnsi="Arial"/>
          <w:b/>
          <w:bCs/>
          <w:i/>
          <w:iCs/>
          <w:color w:val="145F58"/>
          <w:sz w:val="22"/>
          <w:szCs w:val="22"/>
        </w:rPr>
        <w:t xml:space="preserve">USER EXPERIENCE: Instagram becomes a separate company - cross-posting from Instagram to Facebook would likely END unless Meta and the new Instagram strike a commercial deal.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Predict what happens to ADVERTISER behavior after divestiture.</w:t>
      </w:r>
    </w:p>
    <w:p>
      <w:pPr>
        <w:keepNext/>
        <w:keepLines/>
        <w:spacing w:after="60"/>
        <w:ind w:left="360"/>
      </w:pPr>
      <w:r>
        <w:rPr>
          <w:rFonts w:ascii="Arial" w:cs="Arial" w:eastAsia="Arial" w:hAnsi="Arial"/>
          <w:b/>
          <w:bCs/>
          <w:i/>
          <w:iCs/>
          <w:color w:val="145F58"/>
          <w:sz w:val="22"/>
          <w:szCs w:val="22"/>
        </w:rPr>
        <w:t xml:space="preserve">ADVERTISER BEHAVIOR: Advertisers would have to buy from Meta (Facebook + Messenger), separate Instagram, and separate WhatsApp as THREE platforms instead of one.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DIVESTITURE is the FTC's preferred remedy here rather than CONDUCT RULES.</w:t>
      </w:r>
    </w:p>
    <w:p>
      <w:pPr>
        <w:keepNext w:val="false"/>
        <w:keepLines/>
        <w:spacing w:after="120"/>
        <w:ind w:left="360"/>
      </w:pPr>
      <w:r>
        <w:rPr>
          <w:rFonts w:ascii="Arial" w:cs="Arial" w:eastAsia="Arial" w:hAnsi="Arial"/>
          <w:b/>
          <w:bCs/>
          <w:i/>
          <w:iCs/>
          <w:color w:val="145F58"/>
          <w:sz w:val="22"/>
          <w:szCs w:val="22"/>
        </w:rPr>
        <w:t xml:space="preserve">DIVESTITURE is preferred over CONDUCT RULES because the harm was the ACQUISITIONS themselves - Meta acquired rising rivals to eliminate competition. Conduct rules (no more killer acquisitions; allow cross-platform interoperability) would only prevent FUTURE harm; the existing Instagram and WhatsApp dominance would…</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Recommendation Memo to Marcus Holt</w:t>
      </w:r>
    </w:p>
    <w:p>
      <w:pPr>
        <w:keepNext/>
        <w:keepLines/>
        <w:spacing w:after="40"/>
      </w:pPr>
      <w:r>
        <w:rPr>
          <w:rFonts w:ascii="Trebuchet MS" w:cs="Trebuchet MS" w:eastAsia="Trebuchet MS" w:hAnsi="Trebuchet MS"/>
          <w:b/>
          <w:bCs/>
          <w:color w:val="B84D38"/>
          <w:spacing w:val="12"/>
          <w:sz w:val="17"/>
          <w:szCs w:val="17"/>
        </w:rPr>
        <w:t xml:space="preserve">BIG TECH ANTITRUST RECOMMENDATION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closes the assignment.</w:t>
      </w:r>
    </w:p>
    <w:p>
      <w:pPr>
        <w:keepNext/>
        <w:keepLines/>
        <w:spacing w:after="80" w:line="288" w:lineRule="auto"/>
        <w:ind w:left="380"/>
      </w:pPr>
      <w:r>
        <w:rPr>
          <w:rFonts w:ascii="Arial" w:cs="Arial" w:eastAsia="Arial" w:hAnsi="Arial"/>
          <w:b/>
          <w:bCs/>
          <w:color w:val="1B2A4A"/>
          <w:sz w:val="22"/>
          <w:szCs w:val="22"/>
        </w:rPr>
        <w:t xml:space="preserve">You have rated all four companies, read the three charts, and walked four real scenarios with him, and now he needs your one-page recommendation for the team. Write a 6-8 sentence memo to Marcus that names which of the four Big Tech cases (Google search, Apple walled garden, Amazon self-preferencing, or Meta killer acquisitions) the government should prioritize for the strongest enforcement push, and that states the remedy the government should seek in that case. Use all four required terms - MONOPOLY, NETWORK EFFECTS, KILLER ACQUISITION, and DIVESTITURE - at least once each, and address every required element in the checklist below. Which Big Tech case should the DOJ and FTC prioritize, and what remedy should the government seek?</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 SPECIFIC TARGET COMPANY (Google, Apple, Amazon, or Meta) for priority enforcement AND ties the choice to the MONOPOLY four-features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NETWORK EFFECTS correctly - explains how digital network effects make this case different from classical (Standard Oil, AT&amp;T) monopoly cases.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KILLER ACQUISITION correctly - either when discussing Meta directly OR when contrasting Meta with the chosen target.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DIVESTITURE correctly - either recommends it as the remedy (and explains what gets sold off) OR explains why a non-structural remedy is better.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value from the chart appendix (Google ~90% market share, Apple 30% commission, $19B for WhatsApp, the 38% Amazon e-commerce share, or another specific number) to ground the recommendation in real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SPECIFIC PROCEDURAL NEXT STEP the DOJ or FTC should take in the next 12 months (e.g., file remedy proposal in Google case, depose specific Apple executives, subpoena Amazon Buy Box algorithm code, file motion for summary judgment in FTC v. Meta).</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Marcus Holt, Senior Antitrust Investigator, DOJ Antitrust Division</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Big Tech Antitrust Priority and Remedy Recommendation</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BIG TECH MARKET SHARES IN CORE MARKETS (ESTIMATED 2024)</w:t>
      </w:r>
    </w:p>
    <w:p>
      <w:pPr>
        <w:spacing w:after="0" w:before="0"/>
      </w:pPr>
      <w:r>
        <w:rPr>
          <w:rFonts w:ascii="Arial" w:cs="Arial" w:eastAsia="Arial" w:hAnsi="Arial"/>
          <w:color w:val="FFFFFF"/>
          <w:sz w:val="2"/>
          <w:szCs w:val="2"/>
        </w:rPr>
        <w:t xml:space="preserve">Use Chart Reference 1 (chart_bigtech_market_shares) - the bar chart of Big Tech core-market shares for Google, Apple, Amazon, and Meta shown below.</w:t>
      </w:r>
    </w:p>
    <w:p>
      <w:r>
        <w:drawing>
          <wp:inline xmlns:a="http://schemas.openxmlformats.org/drawingml/2006/main" xmlns:pic="http://schemas.openxmlformats.org/drawingml/2006/picture">
            <wp:extent cx="5303520" cy="4755505"/>
            <wp:docPr id="1" name="mllp:chart_bigtech_market_shares|big-tech-antitrust-activity-an|docx|chart-bigtech-market-shares|" title="mllp:chart_bigtech_market_shares|big-tech-antitrust-activity-an|docx|chart-bigtech-market-shares|" descr="Bar chart showing the four Big Tech companies and their estimated 2024 market share in their core U.S. markets. Google holds 90 percent of U.S. general search. Apple holds 50 percent of U.S. smartphone operating system via iOS. Amazon holds 38 percent of U.S. e-commerce. Meta holds 70 percent of U.S. social network users via Facebook plus Instagram plus WhatsApp combined. Google's bar is the tallest at 90 percent; Amazon's is the shortest at 38 percent. All four shares are at or near monopoly-level concentration in their core markets under DOJ and FTC market definitions."/>
            <wp:cNvGraphicFramePr>
              <a:graphicFrameLocks noChangeAspect="1"/>
            </wp:cNvGraphicFramePr>
            <a:graphic>
              <a:graphicData uri="http://schemas.openxmlformats.org/drawingml/2006/picture">
                <pic:pic>
                  <pic:nvPicPr>
                    <pic:cNvPr id="0" name="chart_bigtech_market_shares.png"/>
                    <pic:cNvPicPr/>
                  </pic:nvPicPr>
                  <pic:blipFill>
                    <a:blip r:embed="rId9"/>
                    <a:stretch>
                      <a:fillRect/>
                    </a:stretch>
                  </pic:blipFill>
                  <pic:spPr>
                    <a:xfrm>
                      <a:off x="0" y="0"/>
                      <a:ext cx="5303520" cy="4755505"/>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APPLE APP STORE COMMISSION - WHAT HAPPENS TO A $100 IN-APP PURCHASE</w:t>
      </w:r>
    </w:p>
    <w:p>
      <w:pPr>
        <w:spacing w:after="0" w:before="0"/>
      </w:pPr>
      <w:r>
        <w:rPr>
          <w:rFonts w:ascii="Arial" w:cs="Arial" w:eastAsia="Arial" w:hAnsi="Arial"/>
          <w:color w:val="FFFFFF"/>
          <w:sz w:val="2"/>
          <w:szCs w:val="2"/>
        </w:rPr>
        <w:t xml:space="preserve">Use Chart Reference 2 (chart_app_store_commission) - the bar chart showing how a $100 in-app purchase is split between Apple commission and developer revenue shown below.</w:t>
      </w:r>
    </w:p>
    <w:p>
      <w:r>
        <w:drawing>
          <wp:inline xmlns:a="http://schemas.openxmlformats.org/drawingml/2006/main" xmlns:pic="http://schemas.openxmlformats.org/drawingml/2006/picture">
            <wp:extent cx="5303520" cy="5011467"/>
            <wp:docPr id="2" name="mllp:chart_app_store_commission|big-tech-antitrust-activity-an|docx|chart-app-store-commission|" title="mllp:chart_app_store_commission|big-tech-antitrust-activity-an|docx|chart-app-store-commission|" descr="Bar chart breaking down what happens to a $100 in-app purchase on the Apple App Store. Under the standard 30 percent commission rate (large developers earning over $1 million per year), Apple takes $30 and the developer keeps $70. Under the small developer 15 percent commission rate (developers earning under $1 million per year), Apple takes $15 and the developer keeps $85. The chart shows four bars - Apple Commission Standard at $30, Developer Revenue Standard at $70, Apple Commission Small Dev at $15, Developer Revenue Small Dev at $85. The 30 percent standard rate is the central economic issue in Epic Games v. Apple and the EU Digital Markets Act enforcement actions."/>
            <wp:cNvGraphicFramePr>
              <a:graphicFrameLocks noChangeAspect="1"/>
            </wp:cNvGraphicFramePr>
            <a:graphic>
              <a:graphicData uri="http://schemas.openxmlformats.org/drawingml/2006/picture">
                <pic:pic>
                  <pic:nvPicPr>
                    <pic:cNvPr id="0" name="chart_app_store_commission.png"/>
                    <pic:cNvPicPr/>
                  </pic:nvPicPr>
                  <pic:blipFill>
                    <a:blip r:embed="rId10"/>
                    <a:stretch>
                      <a:fillRect/>
                    </a:stretch>
                  </pic:blipFill>
                  <pic:spPr>
                    <a:xfrm>
                      <a:off x="0" y="0"/>
                      <a:ext cx="5303520" cy="5011467"/>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META (FACEBOOK) MAJOR ACQUISITIONS TIMELINE - THE FTC KILLER-ACQUISITION TARGETS</w:t>
      </w:r>
    </w:p>
    <w:p>
      <w:pPr>
        <w:spacing w:after="0" w:before="0"/>
      </w:pPr>
      <w:r>
        <w:rPr>
          <w:rFonts w:ascii="Arial" w:cs="Arial" w:eastAsia="Arial" w:hAnsi="Arial"/>
          <w:color w:val="FFFFFF"/>
          <w:sz w:val="2"/>
          <w:szCs w:val="2"/>
        </w:rPr>
        <w:t xml:space="preserve">Use Chart Reference 3 (chart_meta_acquisitions) - the bar chart showing Meta's four major acquisitions with purchase prices and dates shown below.</w:t>
      </w:r>
    </w:p>
    <w:p>
      <w:r>
        <w:drawing>
          <wp:inline xmlns:a="http://schemas.openxmlformats.org/drawingml/2006/main" xmlns:pic="http://schemas.openxmlformats.org/drawingml/2006/picture">
            <wp:extent cx="5303520" cy="4545874"/>
            <wp:docPr id="3" name="mllp:chart_meta_acquisitions|big-tech-antitrust-activity-an|docx|chart-meta-acquisitions|" title="mllp:chart_meta_acquisitions|big-tech-antitrust-activity-an|docx|chart-meta-acquisitions|" descr="Bar chart showing Meta (then Facebook) four major acquisitions with purchase prices in billions of dollars. Instagram acquired in 2012 for $1 billion. WhatsApp acquired in 2014 for $19 billion (the largest of the four). Oculus acquired in 2014 for $2 billion. CTRL-Labs acquired in 2019 for $1 billion. WhatsApp's bar at $19 billion is dramatically taller than the other three. The Instagram (2012) and WhatsApp (2014) acquisitions are the FTC's primary killer-acquisition targets in the December 2020 antitrust suit; the FTC seeks to UNDO both acquisitions via forced divestiture."/>
            <wp:cNvGraphicFramePr>
              <a:graphicFrameLocks noChangeAspect="1"/>
            </wp:cNvGraphicFramePr>
            <a:graphic>
              <a:graphicData uri="http://schemas.openxmlformats.org/drawingml/2006/picture">
                <pic:pic>
                  <pic:nvPicPr>
                    <pic:cNvPr id="0" name="chart_meta_acquisitions.png"/>
                    <pic:cNvPicPr/>
                  </pic:nvPicPr>
                  <pic:blipFill>
                    <a:blip r:embed="rId11"/>
                    <a:stretch>
                      <a:fillRect/>
                    </a:stretch>
                  </pic:blipFill>
                  <pic:spPr>
                    <a:xfrm>
                      <a:off x="0" y="0"/>
                      <a:ext cx="5303520" cy="4545874"/>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2026-06-11T12:18:13.448Z</dcterms:created>
  <dcterms:modified xsi:type="dcterms:W3CDTF">2026-06-11T12:18:13.448Z</dcterms:modified>
</cp:coreProperties>
</file>

<file path=docProps/custom.xml><?xml version="1.0" encoding="utf-8"?>
<Properties xmlns="http://schemas.openxmlformats.org/officeDocument/2006/custom-properties" xmlns:vt="http://schemas.openxmlformats.org/officeDocument/2006/docPropsVTypes"/>
</file>